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556"/>
        <w:jc w:val="center"/>
        <w:rPr>
          <w:rFonts w:ascii="黑体" w:hAnsi="黑体" w:eastAsia="黑体"/>
          <w:b/>
          <w:sz w:val="32"/>
          <w:szCs w:val="32"/>
        </w:rPr>
      </w:pPr>
      <w:r>
        <w:rPr>
          <w:rFonts w:hint="eastAsia" w:ascii="黑体" w:hAnsi="黑体" w:eastAsia="黑体"/>
          <w:b/>
          <w:sz w:val="32"/>
          <w:szCs w:val="32"/>
        </w:rPr>
        <w:t>单项资产或资产组合评估业务</w:t>
      </w:r>
    </w:p>
    <w:p>
      <w:pPr>
        <w:spacing w:line="360" w:lineRule="auto"/>
        <w:ind w:firstLine="556"/>
        <w:jc w:val="center"/>
        <w:rPr>
          <w:rFonts w:ascii="黑体" w:hAnsi="黑体" w:eastAsia="黑体"/>
          <w:b/>
          <w:sz w:val="32"/>
          <w:szCs w:val="32"/>
        </w:rPr>
      </w:pPr>
      <w:r>
        <w:rPr>
          <w:rFonts w:hint="eastAsia" w:ascii="黑体" w:hAnsi="黑体" w:eastAsia="黑体"/>
          <w:b/>
          <w:sz w:val="32"/>
          <w:szCs w:val="32"/>
        </w:rPr>
        <w:t>检查底稿编写说明</w:t>
      </w:r>
    </w:p>
    <w:p>
      <w:pPr>
        <w:spacing w:line="360" w:lineRule="auto"/>
        <w:ind w:firstLine="556"/>
        <w:jc w:val="left"/>
        <w:rPr>
          <w:rFonts w:ascii="仿宋_GB2312" w:hAnsi="Calibri" w:eastAsia="仿宋_GB2312"/>
          <w:b/>
          <w:sz w:val="24"/>
        </w:rPr>
      </w:pPr>
    </w:p>
    <w:p>
      <w:pPr>
        <w:spacing w:line="360" w:lineRule="auto"/>
        <w:ind w:firstLine="556"/>
        <w:jc w:val="left"/>
        <w:rPr>
          <w:rFonts w:hint="eastAsia" w:ascii="仿宋_GB2312" w:hAnsi="Calibri" w:eastAsia="仿宋_GB2312"/>
          <w:b/>
          <w:sz w:val="24"/>
        </w:rPr>
      </w:pPr>
      <w:r>
        <w:rPr>
          <w:rFonts w:hint="eastAsia" w:ascii="仿宋_GB2312" w:hAnsi="Calibri" w:eastAsia="仿宋_GB2312"/>
          <w:b/>
          <w:sz w:val="24"/>
        </w:rPr>
        <w:t>特别提示：</w:t>
      </w:r>
    </w:p>
    <w:p>
      <w:pPr>
        <w:spacing w:line="360" w:lineRule="auto"/>
        <w:ind w:firstLine="556"/>
        <w:rPr>
          <w:rFonts w:hint="eastAsia" w:ascii="仿宋_GB2312" w:hAnsi="Calibri" w:eastAsia="仿宋_GB2312"/>
          <w:b/>
          <w:sz w:val="24"/>
        </w:rPr>
      </w:pPr>
      <w:r>
        <w:rPr>
          <w:rFonts w:hint="eastAsia" w:ascii="仿宋_GB2312" w:hAnsi="Calibri" w:eastAsia="仿宋_GB2312"/>
          <w:b/>
          <w:sz w:val="24"/>
        </w:rPr>
        <w:t>1.除企业价值评估（含国资及非国资）、无形资产评估、以财务报告为目的的评估以外的资产评估业务适用本检查底稿。</w:t>
      </w:r>
    </w:p>
    <w:p>
      <w:pPr>
        <w:spacing w:line="360" w:lineRule="auto"/>
        <w:ind w:firstLine="556"/>
        <w:rPr>
          <w:rFonts w:hint="eastAsia" w:ascii="仿宋_GB2312" w:hAnsi="Calibri" w:eastAsia="仿宋_GB2312"/>
          <w:b/>
          <w:sz w:val="24"/>
        </w:rPr>
      </w:pPr>
      <w:r>
        <w:rPr>
          <w:rFonts w:hint="eastAsia" w:ascii="仿宋_GB2312" w:hAnsi="Calibri" w:eastAsia="仿宋_GB2312"/>
          <w:b/>
          <w:sz w:val="24"/>
        </w:rPr>
        <w:t>2.对于以经营业务单元形成的且能够独立获得现金流的资产组或资产组组合，应根据评估报告中所描述的评估目的、评估对象及评估依据，判断检查底稿的适用类型（即适用企业价值评估业务检查底稿还是单项资产或资产组组合评估业务检查底稿）。</w:t>
      </w:r>
    </w:p>
    <w:p>
      <w:pPr>
        <w:spacing w:line="360" w:lineRule="auto"/>
        <w:ind w:firstLine="556"/>
        <w:rPr>
          <w:rFonts w:hint="eastAsia" w:ascii="仿宋_GB2312" w:hAnsi="Calibri" w:eastAsia="仿宋_GB2312"/>
          <w:b/>
          <w:sz w:val="24"/>
        </w:rPr>
      </w:pP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一、评估工作底稿规范性和完备性</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（一）明确业务基本事项</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1.资产评估业务基本事项</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适用准则：《资产评估执业准则——资产评估程序》第七条“资产评估专业人员应当记录评估程序履行情况，形成工作底稿。”</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资产评估执业准则——资产评估程序》第八条“资产评估机构受理资产评估业务前，应当明确下列资产评估业务基本事项：（一）委托人、产权持有人和委托人以外的其他资产评估报告使用人；（二）评估目的；（三）评估对象和评估范围；（四）价值类型；（五）评估基准日；（六）资产评估项目所涉及的需要批准的经济行为的审批情况；（七）资产评估报告使用范围；（八）资产评估报告提交期限及方式；（九）评估服务费及支付方式；（十）委托人、其他相关当事人与资产评估机构及其资产评估专业人员工作配合和协助等需要明确的重要事项。”</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①形成了资产评估业务基本事项洽谈记录文件，并且记录清晰、完整、准确。</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 xml:space="preserve">②资产评估业务基本事项洽谈记录文件内容包括： </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a.委托人、产权持有人和委托人以外的其他资产评估报告使用人;</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b.评估目的；</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c.评估对象和评估范围;</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d.价值类型；</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e.评估基准日；</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f.资产评估项目所涉及的需要批准的经济行为的审批情况（如需要）；</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g.资产评估报告使用范围；</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h.资产评估报告提交期限及方式；</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i.评估服务费及支付方式；</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j.委托人、其他相关当事人与资产评估机构及其资产评估专业人员工作配合和协助等需要明确的重要事项。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③资产评估业务基本事项洽谈记录文件应有洽谈人签字和签署日期。</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①完全做到上述三点，事项内容表述准确、清晰、完整，打5分；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②对前述需明确的10项基本事项，缺一条扣1分，其中第b-e项有1条没有的，或者虽然有，但内容与资产评估委托合同、评估报告内容不符的，则视为情节较严重，每发生一项扣2分，直至0分（第f项视项目具体情况是否需要审批进行打分）</w:t>
      </w:r>
    </w:p>
    <w:p>
      <w:pPr>
        <w:pStyle w:val="2"/>
        <w:spacing w:line="360" w:lineRule="auto"/>
        <w:rPr>
          <w:rFonts w:hint="eastAsia" w:ascii="仿宋_GB2312" w:eastAsia="仿宋_GB2312"/>
          <w:sz w:val="24"/>
        </w:rPr>
      </w:pPr>
      <w:r>
        <w:rPr>
          <w:rFonts w:hint="eastAsia" w:ascii="仿宋_GB2312" w:hAnsi="Calibri" w:eastAsia="仿宋_GB2312"/>
          <w:sz w:val="24"/>
        </w:rPr>
        <w:t xml:space="preserve">    ③洽谈人签字和签署日期缺少一项扣1分；</w:t>
      </w:r>
      <w:r>
        <w:rPr>
          <w:rFonts w:hint="eastAsia" w:ascii="仿宋_GB2312" w:eastAsia="仿宋_GB2312"/>
          <w:sz w:val="24"/>
        </w:rPr>
        <w:t xml:space="preserve">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④未形成基本事项洽谈记录的，打0分。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2.资产评估业务综合分析和评价</w:t>
      </w:r>
    </w:p>
    <w:p>
      <w:pPr>
        <w:spacing w:line="360" w:lineRule="auto"/>
        <w:ind w:firstLine="566" w:firstLineChars="236"/>
        <w:rPr>
          <w:rFonts w:hint="eastAsia" w:ascii="仿宋_GB2312" w:hAnsi="仿宋" w:eastAsia="仿宋_GB2312"/>
          <w:b/>
          <w:sz w:val="24"/>
        </w:rPr>
      </w:pPr>
      <w:r>
        <w:rPr>
          <w:rFonts w:hint="eastAsia" w:ascii="仿宋_GB2312" w:hAnsi="仿宋" w:eastAsia="仿宋_GB2312"/>
          <w:sz w:val="24"/>
        </w:rPr>
        <w:t>适用准则：《资产评估基本准则》第九条、《资产评估执业准则——资产评估程序》第九条“资产评估机构应当对专业能力、独立性和业务风险进行综合分析和评价。受理资产评估业务应当满足专业能力、独立性和业务风险控制要求，否则不得受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（1）针对专业胜任能力进行分析评价，并做出清晰的记录。</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①检查要点：</w:t>
      </w:r>
    </w:p>
    <w:p>
      <w:pPr>
        <w:spacing w:line="360" w:lineRule="auto"/>
        <w:ind w:left="-2" w:leftChars="-1" w:firstLine="427" w:firstLineChars="178"/>
        <w:rPr>
          <w:rFonts w:hint="eastAsia" w:ascii="仿宋_GB2312" w:hAnsi="Calibri" w:eastAsia="仿宋_GB2312"/>
          <w:sz w:val="24"/>
        </w:rPr>
      </w:pPr>
      <w:r>
        <w:rPr>
          <w:rFonts w:hint="eastAsia" w:ascii="仿宋_GB2312" w:hAnsi="Calibri" w:eastAsia="仿宋_GB2312"/>
          <w:sz w:val="24"/>
        </w:rPr>
        <w:t>在决定承接评估业务之前，评估机构应当对自身专业能力进行分析和评价并做出清晰的记录；对自身专业能力进行分析和评价应当考虑以下事项：</w:t>
      </w:r>
    </w:p>
    <w:p>
      <w:pPr>
        <w:spacing w:line="360" w:lineRule="auto"/>
        <w:ind w:left="-2" w:leftChars="-1" w:firstLine="427" w:firstLineChars="178"/>
        <w:rPr>
          <w:rFonts w:hint="eastAsia" w:ascii="仿宋_GB2312" w:hAnsi="Calibri" w:eastAsia="仿宋_GB2312"/>
          <w:sz w:val="24"/>
        </w:rPr>
      </w:pPr>
      <w:r>
        <w:rPr>
          <w:rFonts w:hint="eastAsia" w:ascii="仿宋_GB2312" w:hAnsi="Calibri" w:eastAsia="仿宋_GB2312"/>
          <w:sz w:val="24"/>
        </w:rPr>
        <w:t>a.资产评估专业人员是否有与评估业务相关的专业知识及评估经验；</w:t>
      </w:r>
    </w:p>
    <w:p>
      <w:pPr>
        <w:spacing w:line="360" w:lineRule="auto"/>
        <w:ind w:left="1" w:firstLine="424" w:firstLineChars="177"/>
        <w:rPr>
          <w:rFonts w:hint="eastAsia" w:ascii="仿宋_GB2312" w:hAnsi="Calibri" w:eastAsia="仿宋_GB2312"/>
          <w:sz w:val="24"/>
        </w:rPr>
      </w:pPr>
      <w:r>
        <w:rPr>
          <w:rFonts w:hint="eastAsia" w:ascii="仿宋_GB2312" w:hAnsi="Calibri" w:eastAsia="仿宋_GB2312"/>
          <w:sz w:val="24"/>
        </w:rPr>
        <w:t>b.当执行某项特定业务缺乏特定的专业知识和经验时，是否采用了弥补措施，如利用专家工作；</w:t>
      </w:r>
    </w:p>
    <w:p>
      <w:pPr>
        <w:spacing w:line="360" w:lineRule="auto"/>
        <w:ind w:firstLine="424" w:firstLineChars="177"/>
        <w:rPr>
          <w:rFonts w:hint="eastAsia" w:ascii="仿宋_GB2312" w:hAnsi="Calibri" w:eastAsia="仿宋_GB2312"/>
          <w:sz w:val="24"/>
        </w:rPr>
      </w:pPr>
      <w:r>
        <w:rPr>
          <w:rFonts w:hint="eastAsia" w:ascii="仿宋_GB2312" w:hAnsi="Calibri" w:eastAsia="仿宋_GB2312"/>
          <w:sz w:val="24"/>
        </w:rPr>
        <w:t>c.当考虑利用专家工作时，是否采取必要程序，确信专家工作的合理性。</w:t>
      </w:r>
    </w:p>
    <w:p>
      <w:pPr>
        <w:spacing w:line="360" w:lineRule="auto"/>
        <w:ind w:left="-2" w:leftChars="-1" w:firstLine="424" w:firstLineChars="177"/>
        <w:rPr>
          <w:rFonts w:hint="eastAsia" w:ascii="仿宋_GB2312" w:hAnsi="Calibri" w:eastAsia="仿宋_GB2312"/>
          <w:sz w:val="24"/>
        </w:rPr>
      </w:pPr>
      <w:r>
        <w:rPr>
          <w:rFonts w:hint="eastAsia" w:ascii="仿宋_GB2312" w:hAnsi="Calibri" w:eastAsia="仿宋_GB2312"/>
          <w:sz w:val="24"/>
        </w:rPr>
        <w:t>这些措施包括但不限于：对所聘请专家的能力进行了解，如拟聘专家的专业特长、职称、专业资格、声望等因素；对专家的独立性进行了了解，专家与委托人或者其他相关当事人存在关联关系，专家工作的独立性可能受到影响；</w:t>
      </w:r>
      <w:r>
        <w:rPr>
          <w:rFonts w:hint="eastAsia" w:ascii="仿宋_GB2312" w:hAnsi="仿宋_GB2312" w:eastAsia="仿宋_GB2312" w:cs="仿宋_GB2312"/>
          <w:kern w:val="0"/>
          <w:sz w:val="24"/>
        </w:rPr>
        <w:t xml:space="preserve"> </w:t>
      </w:r>
      <w:r>
        <w:rPr>
          <w:rFonts w:hint="eastAsia" w:ascii="仿宋_GB2312" w:hAnsi="Calibri" w:eastAsia="仿宋_GB2312"/>
          <w:sz w:val="24"/>
        </w:rPr>
        <w:t>向专家介绍资产评估相关规定和评估业务相关情况，提出具体工作要求。</w:t>
      </w:r>
    </w:p>
    <w:p>
      <w:pPr>
        <w:spacing w:line="360" w:lineRule="auto"/>
        <w:ind w:firstLine="482" w:firstLineChars="200"/>
        <w:rPr>
          <w:rFonts w:hint="eastAsia" w:ascii="仿宋_GB2312" w:hAnsi="Calibri" w:eastAsia="仿宋_GB2312"/>
          <w:b/>
          <w:sz w:val="24"/>
        </w:rPr>
      </w:pPr>
      <w:r>
        <w:rPr>
          <w:rFonts w:hint="eastAsia" w:ascii="仿宋_GB2312" w:hAnsi="Calibri" w:eastAsia="仿宋_GB2312"/>
          <w:b/>
          <w:sz w:val="24"/>
        </w:rPr>
        <w:t>②打分要求：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a.完全做到上述三点，专业胜任能力分析和评价记录内容完整、清晰、合理，打5分；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b.专业胜任能力分析和评价存在欠缺，缺一条扣2分；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c.专业胜任能力分析和评价记录内容总体表述不够清晰，打4分；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d.专业胜任能力分析和评价结论较明显不合理，打2分；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e.缺少业务评价人或评估机构相关负责人签字的打3分；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f.无专业胜任能力分析和评价记录，打0分。</w:t>
      </w:r>
    </w:p>
    <w:p>
      <w:pPr>
        <w:spacing w:line="360" w:lineRule="auto"/>
        <w:ind w:firstLine="482" w:firstLineChars="200"/>
        <w:rPr>
          <w:rFonts w:hint="eastAsia" w:ascii="仿宋_GB2312" w:hAnsi="Calibri" w:eastAsia="仿宋_GB2312"/>
          <w:b/>
          <w:sz w:val="24"/>
        </w:rPr>
      </w:pPr>
      <w:r>
        <w:rPr>
          <w:rFonts w:hint="eastAsia" w:ascii="仿宋_GB2312" w:hAnsi="Calibri" w:eastAsia="仿宋_GB2312"/>
          <w:b/>
          <w:sz w:val="24"/>
        </w:rPr>
        <w:t>（2）针对独立性进行分析评价，并做出清晰的记录。</w:t>
      </w:r>
    </w:p>
    <w:p>
      <w:pPr>
        <w:spacing w:line="360" w:lineRule="auto"/>
        <w:ind w:firstLine="482" w:firstLineChars="200"/>
        <w:rPr>
          <w:rFonts w:hint="eastAsia" w:ascii="仿宋_GB2312" w:hAnsi="Calibri" w:eastAsia="仿宋_GB2312"/>
          <w:b/>
          <w:sz w:val="24"/>
        </w:rPr>
      </w:pPr>
      <w:r>
        <w:rPr>
          <w:rFonts w:hint="eastAsia" w:ascii="仿宋_GB2312" w:hAnsi="Calibri" w:eastAsia="仿宋_GB2312"/>
          <w:b/>
          <w:sz w:val="24"/>
        </w:rPr>
        <w:t>①检查要点：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评估机构在决定承接评估业务之前，应当对独立性进行分析和评价并做出清晰的记录。对自身独立性进行分析和评价应当考虑以下事项：</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a.资产评估机构不得受理与自身有利害关系的资产评估业务；</w:t>
      </w:r>
    </w:p>
    <w:p>
      <w:pPr>
        <w:adjustRightInd w:val="0"/>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b.资产评估机构及其资产评估专业人员开展资产评估业务，应当识别可能影响独立性的情形，合理判断其对独立性的影响。</w:t>
      </w:r>
    </w:p>
    <w:p>
      <w:pPr>
        <w:adjustRightInd w:val="0"/>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可能影响独立性的情形通常包括资产评估机构及其资产评估专业人员或者其亲属与委托人或者其他相关当事人之间存在经济利益关联、人员关联或者业务关联。</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c.资产评估机构不得分别接受利益冲突双方的委托，对同一评估对象进行评估。</w:t>
      </w:r>
    </w:p>
    <w:p>
      <w:pPr>
        <w:spacing w:line="360" w:lineRule="auto"/>
        <w:ind w:firstLine="482" w:firstLineChars="200"/>
        <w:rPr>
          <w:rFonts w:hint="eastAsia" w:ascii="仿宋_GB2312" w:hAnsi="Calibri" w:eastAsia="仿宋_GB2312"/>
          <w:b/>
          <w:sz w:val="24"/>
        </w:rPr>
      </w:pPr>
      <w:r>
        <w:rPr>
          <w:rFonts w:hint="eastAsia" w:ascii="仿宋_GB2312" w:hAnsi="Calibri" w:eastAsia="仿宋_GB2312"/>
          <w:b/>
          <w:sz w:val="24"/>
        </w:rPr>
        <w:t>②打分要求：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a.完全做到上述三点，分析内容全面，表述清晰，结论合理，打5分；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b.基本做到上述三点，分析内容全面，结论合理，但对应二方面内容中部分内容表述不够清晰的，打4分；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c.对应三方面内容每缺少1项内容或不缺少该项但其分析评价结论明显不合理的，扣2分；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e.缺少评价人或评估机构相关负责人签字及签署日期，打3分；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f.无独立性分析评价记录，打0分。</w:t>
      </w:r>
    </w:p>
    <w:p>
      <w:pPr>
        <w:spacing w:line="360" w:lineRule="auto"/>
        <w:ind w:firstLine="482" w:firstLineChars="200"/>
        <w:rPr>
          <w:rFonts w:hint="eastAsia" w:ascii="仿宋_GB2312" w:hAnsi="Calibri" w:eastAsia="仿宋_GB2312"/>
          <w:b/>
          <w:sz w:val="24"/>
        </w:rPr>
      </w:pPr>
      <w:r>
        <w:rPr>
          <w:rFonts w:hint="eastAsia" w:ascii="仿宋_GB2312" w:hAnsi="Calibri" w:eastAsia="仿宋_GB2312"/>
          <w:b/>
          <w:sz w:val="24"/>
        </w:rPr>
        <w:t>（3）针对业务风险进行分析评价，并做出清晰的记录。</w:t>
      </w:r>
    </w:p>
    <w:p>
      <w:pPr>
        <w:spacing w:line="360" w:lineRule="auto"/>
        <w:ind w:firstLine="482" w:firstLineChars="200"/>
        <w:jc w:val="left"/>
        <w:rPr>
          <w:rFonts w:hint="eastAsia" w:ascii="仿宋_GB2312" w:hAnsi="Calibri" w:eastAsia="仿宋_GB2312"/>
          <w:b/>
          <w:sz w:val="24"/>
        </w:rPr>
      </w:pPr>
      <w:r>
        <w:rPr>
          <w:rFonts w:hint="eastAsia" w:ascii="仿宋_GB2312" w:hAnsi="Calibri" w:eastAsia="仿宋_GB2312"/>
          <w:b/>
          <w:sz w:val="24"/>
        </w:rPr>
        <w:t>①检查要点：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a.在对资产评估基本事项有了初步的了解基础上，分析评价可能产生的业务风险并予以清晰记录。</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b.考虑可能出现的业务风险主要包括：</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来自评估目的的风险：如以抵质押、出资为目的的业务，委托方对估值的预期是否合理；来自评估对象的风险：如评估对象的法律权属资料是否完整、清晰，是否存在法律纠纷等；评估报告出具的时间的要求是否合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②打分要求：</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a.完全做到上述两点，分析内容全面，表述清晰，结论明确，打5分；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b. 分析评价总体表述不够清晰，打4分；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c.对应第2项内容中的3个方面，每缺少1项内容或不缺少该项但其分析评价结论不明确或明显错误的，扣2分；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e.对应第2项内容中的3个方面，每存在评价结论表意为“高风险”，但无具体“解决方案”或“解决方案”不恰当的，视为情节较严重，扣2分；</w:t>
      </w:r>
    </w:p>
    <w:p>
      <w:pPr>
        <w:pStyle w:val="2"/>
        <w:spacing w:line="360" w:lineRule="auto"/>
        <w:ind w:firstLine="480" w:firstLineChars="200"/>
        <w:rPr>
          <w:rFonts w:hint="eastAsia" w:ascii="仿宋_GB2312" w:eastAsia="仿宋_GB2312"/>
          <w:sz w:val="24"/>
        </w:rPr>
      </w:pPr>
      <w:r>
        <w:rPr>
          <w:rFonts w:hint="eastAsia" w:ascii="仿宋_GB2312" w:hAnsi="Calibri" w:eastAsia="仿宋_GB2312"/>
          <w:sz w:val="24"/>
        </w:rPr>
        <w:t>f.缺少评价人或评估机构相关负责人签字及签署日期，打3分；</w:t>
      </w:r>
      <w:r>
        <w:rPr>
          <w:rFonts w:hint="eastAsia" w:ascii="仿宋_GB2312" w:eastAsia="仿宋_GB2312"/>
          <w:sz w:val="24"/>
        </w:rPr>
        <w:t xml:space="preserve">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g.无业务综合分析评价工作底稿，打0分。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（二）订立业务委托合同</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《资产评估执业准则——资产评估程序》第十条“资产评估机构受理资产评估业务应当与委托人依法订立资产评估委托合同，约定资产评估机构和委托人权利、义务、违约责任和争议解决等内容。”</w:t>
      </w:r>
    </w:p>
    <w:p>
      <w:pPr>
        <w:spacing w:line="360" w:lineRule="auto"/>
        <w:ind w:firstLine="566" w:firstLineChars="236"/>
        <w:rPr>
          <w:rFonts w:hint="eastAsia" w:ascii="仿宋_GB2312" w:hAnsi="仿宋" w:eastAsia="仿宋_GB2312"/>
          <w:sz w:val="24"/>
        </w:rPr>
      </w:pPr>
      <w:r>
        <w:rPr>
          <w:rFonts w:hint="eastAsia" w:ascii="仿宋_GB2312" w:eastAsia="仿宋_GB2312"/>
          <w:sz w:val="24"/>
        </w:rPr>
        <w:t>《资产评估执业准则——资</w:t>
      </w:r>
      <w:r>
        <w:rPr>
          <w:rFonts w:hint="eastAsia" w:ascii="仿宋_GB2312" w:hAnsi="仿宋" w:eastAsia="仿宋_GB2312"/>
          <w:sz w:val="24"/>
        </w:rPr>
        <w:t>产评估委托合同》第四条“……资产评估委托合同应当由资产评估机构的法定代表人（或者执行合伙事务合伙人）签字并加盖资产评估机构印章。”</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w:t>
      </w:r>
      <w:r>
        <w:rPr>
          <w:rFonts w:hint="eastAsia" w:ascii="仿宋_GB2312" w:hAnsi="仿宋" w:eastAsia="仿宋_GB2312"/>
          <w:sz w:val="24"/>
        </w:rPr>
        <w:t>产评估委托合同》第六条“资产评估委托合同通常包括下列内容：（一）资产评估机构和委托人的名称、住所、联系人及联系方式；（二）评估目的；（三）评估对象和评估范围；（四）评估基准日；（五）评估报告使</w:t>
      </w:r>
      <w:r>
        <w:rPr>
          <w:rFonts w:hint="eastAsia" w:ascii="仿宋_GB2312" w:eastAsia="仿宋_GB2312"/>
          <w:sz w:val="24"/>
        </w:rPr>
        <w:t>用范围；（六）评估报告提交期限和方式；（七）评估服务费总额或者支付标准、支付时间及支付方式；（八）资产评估机构和委托人的其他权利和义务；（九）违约责任和争议解决；（十）合同当事人签字或者盖章的时间；（十一）合同当事人签字或者盖章的地点。</w:t>
      </w:r>
    </w:p>
    <w:p>
      <w:pPr>
        <w:spacing w:line="360" w:lineRule="auto"/>
        <w:ind w:firstLine="566" w:firstLineChars="236"/>
        <w:rPr>
          <w:rFonts w:hint="eastAsia" w:ascii="仿宋_GB2312" w:eastAsia="仿宋_GB2312"/>
          <w:sz w:val="24"/>
        </w:rPr>
      </w:pPr>
      <w:r>
        <w:rPr>
          <w:rFonts w:hint="eastAsia" w:ascii="仿宋_GB2312" w:eastAsia="仿宋_GB2312"/>
          <w:sz w:val="24"/>
        </w:rPr>
        <w:t>订立资产评估委托合同时未明确的内容，资产评估委托合同当事人可以采取订立补充合同或者法律允许的其他形式做出后续约定。”</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w:t>
      </w:r>
      <w:r>
        <w:rPr>
          <w:rFonts w:hint="eastAsia" w:ascii="仿宋_GB2312" w:hAnsi="仿宋" w:eastAsia="仿宋_GB2312"/>
          <w:sz w:val="24"/>
        </w:rPr>
        <w:t>产评估委托合同》</w:t>
      </w:r>
      <w:r>
        <w:rPr>
          <w:rFonts w:hint="eastAsia" w:ascii="仿宋_GB2312" w:eastAsia="仿宋_GB2312"/>
          <w:sz w:val="24"/>
        </w:rPr>
        <w:t>第七条“资产评估委托合同载明的评估目的应当表述明确、清晰。”</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w:t>
      </w:r>
      <w:r>
        <w:rPr>
          <w:rFonts w:hint="eastAsia" w:ascii="仿宋_GB2312" w:hAnsi="仿宋" w:eastAsia="仿宋_GB2312"/>
          <w:sz w:val="24"/>
        </w:rPr>
        <w:t>产评估委托合同》</w:t>
      </w:r>
      <w:r>
        <w:rPr>
          <w:rFonts w:hint="eastAsia" w:ascii="仿宋_GB2312" w:eastAsia="仿宋_GB2312"/>
          <w:sz w:val="24"/>
        </w:rPr>
        <w:t>第十九条“资产评估委托合同订立后发现相关事项存在遗漏、约定不明确，或者在合同履行中约定内容发生变化的，资产评估机构可以要求与委托人订立补充合同或者重新订立资产评估委托合同，或者以法律允许的其他方式对资产评估委托合同的相关条款进行变更。”</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（1）资产评估委托合同应当由评估机构的法定代表人</w:t>
      </w:r>
      <w:r>
        <w:rPr>
          <w:rFonts w:hint="eastAsia" w:ascii="仿宋_GB2312" w:hAnsi="仿宋_GB2312" w:eastAsia="仿宋_GB2312" w:cs="仿宋_GB2312"/>
          <w:sz w:val="24"/>
        </w:rPr>
        <w:t>（</w:t>
      </w:r>
      <w:r>
        <w:rPr>
          <w:rFonts w:hint="eastAsia" w:ascii="仿宋_GB2312" w:hAnsi="Calibri" w:eastAsia="仿宋_GB2312"/>
          <w:sz w:val="24"/>
        </w:rPr>
        <w:t>或者执行合伙事务合伙人）或其授权人签字并加盖资产评估机构印章；</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（2）资产评估委托合同应当包括下列基本内容：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①资产评估机构和委托人的名称、联系人及联系方式；</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②评估目的；</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③评估对象和评估范围；</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④评估基准日；</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⑤评估报告使用范围；</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⑥评估报告提交期限和方式；</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⑦评估服务费总额或者支付标准、支付时间及支付方式；</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⑧评估机构和委托人的其他权利和义务；</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⑨违约责任和争议解决；</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⑩合同当事人签字或者盖章的时间;</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eq \o\ac(○,</w:instrText>
      </w:r>
      <w:r>
        <w:rPr>
          <w:rFonts w:hint="eastAsia" w:ascii="仿宋_GB2312" w:hAnsi="Calibri" w:eastAsia="仿宋_GB2312"/>
          <w:position w:val="3"/>
          <w:sz w:val="24"/>
        </w:rPr>
        <w:instrText xml:space="preserve">11</w:instrText>
      </w:r>
      <w:r>
        <w:rPr>
          <w:rFonts w:hint="eastAsia" w:ascii="仿宋_GB2312" w:hAnsi="Calibri" w:eastAsia="仿宋_GB2312"/>
          <w:sz w:val="24"/>
        </w:rPr>
        <w:instrText xml:space="preserve">)</w:instrText>
      </w:r>
      <w:r>
        <w:rPr>
          <w:rFonts w:hint="eastAsia" w:ascii="仿宋_GB2312" w:hAnsi="Calibri" w:eastAsia="仿宋_GB2312"/>
          <w:sz w:val="24"/>
        </w:rPr>
        <w:fldChar w:fldCharType="end"/>
      </w:r>
      <w:r>
        <w:rPr>
          <w:rFonts w:hint="eastAsia" w:ascii="仿宋_GB2312" w:hAnsi="Calibri" w:eastAsia="仿宋_GB2312"/>
          <w:sz w:val="24"/>
        </w:rPr>
        <w:t>合同当事人签字或者盖章的地点。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3）资产评估委托合同订立后发现相关事项存在遗漏、约定不明确，或者在合同履行中约定内容发生变化的，资产评估机构可以要求与委托人订立补充合同或者重新订立资产评估委托合同，或者以法律允许的其他方式对资产评估委托合同的相关条款进行变更。</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 xml:space="preserve">（1）完全做到上述三点，资产评估委托合同各条款表述准确、清楚，打5分；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（2）基本做到上述三点，但资产评估委托合同条款表述不够准确、清楚的，打3-4分；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（3）资产评估委托合同基本内容欠缺，缺一条扣1分，直至0分；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（4）</w:t>
      </w:r>
      <w:r>
        <w:rPr>
          <w:rFonts w:hint="eastAsia" w:ascii="仿宋_GB2312" w:hAnsi="Calibri" w:eastAsia="仿宋_GB2312"/>
          <w:color w:val="000000"/>
          <w:sz w:val="24"/>
        </w:rPr>
        <w:t>违反检查要点第三项且无相关替代证据表明变动的，或者缺资产评估委托合同基本内容第②、③、④任一项，或者②表述不明确、清晰，视同无此项，打分均不超过2分；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 xml:space="preserve">（5）若涉及司法鉴定委托业务或其他特殊情形的，能提供相关合法委托手续的，不扣分，否则打0分；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（6）无资产评估委托合同，打0分。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（三）编制资产评估计划</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适用准则：《资产评估执业准则——资产评估程序》第七条“资产评估专业人员应当记录评估程序履行情况，形成工作底稿。”</w:t>
      </w:r>
    </w:p>
    <w:p>
      <w:pPr>
        <w:spacing w:line="360" w:lineRule="auto"/>
        <w:ind w:firstLine="566" w:firstLineChars="236"/>
        <w:rPr>
          <w:rFonts w:hint="eastAsia" w:ascii="仿宋_GB2312" w:hAnsi="仿宋" w:eastAsia="仿宋_GB2312"/>
          <w:b/>
          <w:sz w:val="24"/>
        </w:rPr>
      </w:pPr>
      <w:r>
        <w:rPr>
          <w:rFonts w:hint="eastAsia" w:ascii="仿宋_GB2312" w:hAnsi="仿宋" w:eastAsia="仿宋_GB2312"/>
          <w:sz w:val="24"/>
        </w:rPr>
        <w:t>《资产评估执业准则——资产评估程序》第十一条“资产评估专业人员应当根据资产评估业务具体情况编制资产评估计划，并合理确定资产评估计划的繁简程度。资产评估计划包括资产评估业务实施的主要过程及时间进度、人员安排等。”</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（1）资产评估专业人员应当根据资产评估业务具体情况编制资产评估计划，并合理确定资产评估计划的繁简程度；</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（2）资产评估计划应当包括以下基本内容：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①资产评估业务实施的主要过程；</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②时间进度；</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③人员安排；</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（3）资产评估计划应当由评估机构相关负责人审核、签字，并签署日期；应当符合机构内部关于评估计划审批流程及相应权限的规定。</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（1）完全做到上述三点，打5分；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 xml:space="preserve">（2）基本做到上述三点，但评估计划内容不够具体完整，或者项目针对性不强的，打3-4分；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 xml:space="preserve">（3）评估计划基本内容欠缺，根据检查要点第二项要求，缺一条扣1分，直至0分； </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（4）评估计划无资产评估机构相关负责人签字或无签署日期，或与内部审批权限不一致，或实质判断为计划内容详略不得当的，每发生一项扣2分；</w:t>
      </w:r>
    </w:p>
    <w:p>
      <w:pPr>
        <w:spacing w:line="360" w:lineRule="auto"/>
        <w:ind w:firstLine="600" w:firstLineChars="250"/>
        <w:rPr>
          <w:rFonts w:hint="eastAsia" w:ascii="仿宋_GB2312" w:hAnsi="Calibri" w:eastAsia="仿宋_GB2312"/>
          <w:sz w:val="24"/>
        </w:rPr>
      </w:pPr>
      <w:r>
        <w:rPr>
          <w:rFonts w:hint="eastAsia" w:ascii="仿宋_GB2312" w:hAnsi="Calibri" w:eastAsia="仿宋_GB2312"/>
          <w:sz w:val="24"/>
        </w:rPr>
        <w:t>（5） 无评估计划，打0分。</w:t>
      </w:r>
    </w:p>
    <w:p>
      <w:pPr>
        <w:spacing w:line="360" w:lineRule="auto"/>
        <w:ind w:left="472"/>
        <w:rPr>
          <w:rFonts w:hint="eastAsia" w:ascii="仿宋_GB2312" w:hAnsi="Calibri" w:eastAsia="仿宋_GB2312"/>
          <w:b/>
          <w:sz w:val="24"/>
        </w:rPr>
      </w:pPr>
      <w:r>
        <w:rPr>
          <w:rFonts w:hint="eastAsia" w:ascii="仿宋_GB2312" w:hAnsi="Calibri" w:eastAsia="仿宋_GB2312"/>
          <w:b/>
          <w:sz w:val="24"/>
        </w:rPr>
        <w:t>（四）进行评估现场调查</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适用准则：《资产评估执业准则——资产评估程序》第六条“ 执行资产评估业务，因法律法规规定、客观条件限制，无法或者不能完全履行资产评估基本程序，经采取措施弥补程序缺失，且未对评估结论产生重大影响时，资产评估机构及其资产评估专业人员可以继续开展业务，对评估结论产生重大影响或者无法判断其影响程度的，不得出具资产评估报告。”</w:t>
      </w:r>
    </w:p>
    <w:p>
      <w:pPr>
        <w:pStyle w:val="3"/>
        <w:adjustRightInd w:val="0"/>
        <w:snapToGrid w:val="0"/>
        <w:spacing w:line="360" w:lineRule="auto"/>
        <w:ind w:left="0" w:firstLine="494" w:firstLineChars="206"/>
        <w:jc w:val="both"/>
        <w:rPr>
          <w:rFonts w:hint="eastAsia" w:ascii="仿宋_GB2312" w:eastAsia="仿宋_GB2312"/>
          <w:sz w:val="24"/>
          <w:szCs w:val="24"/>
        </w:rPr>
      </w:pPr>
      <w:r>
        <w:rPr>
          <w:rFonts w:hint="eastAsia" w:ascii="仿宋_GB2312" w:hAnsi="仿宋" w:eastAsia="仿宋_GB2312"/>
          <w:sz w:val="24"/>
          <w:szCs w:val="24"/>
        </w:rPr>
        <w:t>《资产评估执业准则——资产评估程序》第七条“资产评估专业人员应当记录评估程序履行情况，形成工作底稿。”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二条“执行资产评估业务，应当对评估对象进行现场调查，……了解评估对象现状，……。现场调查手段通常包括询问、访谈、核对、监盘、勘查等。资产评估专业人员可以根据重要性原则采用逐项或者抽样的方式进行现场调查。”</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四条“资产评估专业人员应当要求委托人或者其他相关当事人提供涉及评估对象和评估范围的必要资料。资产评估专业人员应当要求委托人或者其他相关当事人对其提供的资产评估明细表……进行确认，确认方式包括签字、盖章及法律允许的其他方式。”</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1.获取委托人或者其他相关当事人提供的资产评估申报明细表等</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评估申报明细表填列的各资产科目完整；</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各科目评估申报明细表的填列内容准确、完整、清晰；</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评估申报明细表需要提供方盖章确认。</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完全做到上述三点，打5分；</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 xml:space="preserve">评估申报明细表科目完整，但部分填列内容不够准确，判断为未对分析判断资产状况产生重大影响的，打4分；判断为很可能对分析判断资产状况产生重大影响的，打3分；（可从相关内容项数占全部需要填写内容项数的比例、相关内容的性质是否会对重要资产状况判断和认定产生重大影响等方面加以区分影响程度）； </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评估申报明细表的科目完整，但填列内容欠缺较多，判断为未对分析判断资产状况产生重大影响的，打3分；判断为很可能对分析判断资产状况产生重大影响的，如缺少品牌名称、购置日期、启用日期、制造厂家、不动产所处位置、用途及结构等情形的，打2分（可从欠缺内容项数占全部需要填写内容项数的比例、欠缺内容的性质是否会对重要资产状况判断和认定产生重大影响等方面加以区分影响程度）；</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④评估申报明细表无委托人或者相关当事人盖章确认，且无法证明相关申报内容是由委托人或者相关当事人确认的，打2-3分；</w:t>
      </w:r>
    </w:p>
    <w:p>
      <w:pPr>
        <w:spacing w:line="360" w:lineRule="auto"/>
        <w:ind w:firstLine="555"/>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无评估申报明细表且无能够反映资产评估申报内容的其他替代文件的，打0分。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2.核实评估对象的存在性和完整性</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需要根据委托人或者其他相关当事人提供的资产清单（评估申报明细表），对评估范围内资产的存在性和完整性进行现场调查，记录调查内容、调查结果及调查意见，并将调查结果与评估申报明细表、账面记录进行核对；</w:t>
      </w:r>
    </w:p>
    <w:p>
      <w:pPr>
        <w:spacing w:line="360" w:lineRule="auto"/>
        <w:ind w:firstLine="640"/>
        <w:jc w:val="left"/>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资产评估专业人员进行现场调查需要采用恰当的调查手段和方式。现场调查手段通常包括询问、访谈、核对、监盘、勘查等；资产评估专业人员可以根据重要性原则采用逐项或者抽样的方式进行现场调查，采用抽样方法进行现场调查的，应充分考虑抽样调查风险并做了相应的记录。</w:t>
      </w:r>
    </w:p>
    <w:p>
      <w:pPr>
        <w:spacing w:line="360" w:lineRule="auto"/>
        <w:ind w:firstLine="640"/>
        <w:jc w:val="left"/>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资产评估专业人员应当在形成的调查工作记录中签署名字和调查日期。</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全部满足上述三点要求的，打5分；</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根据项目及相关资产特点判断，存在对主要资产采用的调查手段及方式不够恰当的，打2-3分；对主要资产采用的调查手段及方式恰当，但对部分非主要资产采用的调查手段或方式不够恰当的，打3-4分；</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对应所采用的调查手段和方式，对主要资产存在性和完整性进行调查的记录不够清晰完整或没有调查结果及意见，判断为对评估结论无重大影响的，每存在一种情形扣1分；判断为很可能对评估结论产生重大影响的，每存在一种情形扣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④相关调查记录无资产评估专业人员签字或签署日期的，每存在一种情加扣1分；</w:t>
      </w:r>
    </w:p>
    <w:p>
      <w:pPr>
        <w:spacing w:line="360" w:lineRule="auto"/>
        <w:ind w:firstLine="555"/>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主要资产的调查手段或方式明显错误，或无调查记录的，打0分。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3.调查评估对象的现状和使用状况的记录</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资产评估专业人员需要根据委托人或者其他相关当事人提供的资产清单（评估申报明细表），对评估范围内资产的现状和使用状况进行现场调查，并记录调查内容、调查结果及调查意见；</w:t>
      </w:r>
    </w:p>
    <w:p>
      <w:pPr>
        <w:spacing w:line="360" w:lineRule="auto"/>
        <w:ind w:firstLine="640"/>
        <w:jc w:val="left"/>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资产评估专业人员进行现场调查需要采用恰当的调查手段和方式。现场调查手段通常包括对资产相关技术资料进行核查、对主要资产进行现场勘察、对相关人员进行访谈等；评估专业人员可以根据重要性原则采用逐项或者抽样的方式进行现场调查，采用抽样方法进行现场调查的，应充分考虑抽样调查风险并做了相应的记录。</w:t>
      </w:r>
    </w:p>
    <w:p>
      <w:pPr>
        <w:spacing w:line="360" w:lineRule="auto"/>
        <w:ind w:firstLine="640"/>
        <w:jc w:val="left"/>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对超出资产评估专业人员胜任能力的技术鉴定，是否恰当地利用了专家工作。</w:t>
      </w:r>
    </w:p>
    <w:p>
      <w:pPr>
        <w:spacing w:line="360" w:lineRule="auto"/>
        <w:ind w:firstLine="640"/>
        <w:jc w:val="left"/>
        <w:rPr>
          <w:rFonts w:hint="eastAsia" w:ascii="仿宋_GB2312" w:hAnsi="Calibri" w:eastAsia="仿宋_GB2312"/>
          <w:sz w:val="24"/>
        </w:rPr>
      </w:pPr>
      <w:r>
        <w:rPr>
          <w:rFonts w:hint="eastAsia" w:ascii="仿宋_GB2312" w:hAnsi="Calibri" w:eastAsia="仿宋_GB2312"/>
          <w:sz w:val="24"/>
        </w:rPr>
        <w:t>④资产评估专业人员应当在形成的调查工作记录中签署名字和签署日期。</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全部满足上述四点要求的，打5分；</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根据项目及相关资产特点判断，存在对主要资产采用的调查手段及方式不够恰当的，打3分；对主要资产采用的调查手段及方式恰当，但对部分非主要资产采用的调查手段或方式不够恰当的，打3分；</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对应所采用的调查手段和方式，对主要资产现状和使用状况进行调查的记录不够清晰完整或没有调查结果及意见，判断为对评估结论无重大影响的，每存在一种情形扣1分；判断为很可能对评估结论产生重大影响的，每存在一种情形扣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④相关调查记录无资产评估专业人员签字或签署日期的，每存在一种情扣1分；</w:t>
      </w:r>
    </w:p>
    <w:p>
      <w:pPr>
        <w:spacing w:line="360" w:lineRule="auto"/>
        <w:ind w:firstLine="555"/>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违反上述第三点内容的，扣3分；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⑥主要资产的调查手段或方式明显错误，或无调查记录的，打0分。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4.现场调查受到客观限制时采取的其他适用方法和记录</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因法律法规规定、客观条件限制，无法或者不能完全履行现场调查程序，需经采取措施弥补程序缺失，且未对评估结论产生重大影响时，资产评估机构及其资产评估专业人员可以继续开展业务。存在此情形，资产评估专业人员需要：</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分析受限情况，明确采取了恰当的措施，并确信经采取措施弥补程序缺失未对评估结论产生重大影响；</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记录采取的措施实施内容、结果；</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资产评估专业人员应当在形成的相应工作记录中签署名字和签署日期。</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上述三项均做到，表述清晰，且经分析判断所采取的措施恰当，未对评估结论产生重大影响，打5分；</w:t>
      </w:r>
    </w:p>
    <w:p>
      <w:pPr>
        <w:spacing w:line="360" w:lineRule="auto"/>
        <w:ind w:firstLine="555"/>
        <w:rPr>
          <w:rFonts w:hint="eastAsia" w:ascii="仿宋_GB2312" w:hAnsi="Calibri" w:eastAsia="仿宋_GB2312"/>
          <w:sz w:val="24"/>
        </w:rPr>
      </w:pPr>
      <w:r>
        <w:rPr>
          <w:rFonts w:hint="eastAsia" w:ascii="仿宋_GB2312" w:eastAsia="仿宋_GB2312"/>
          <w:sz w:val="24"/>
        </w:rPr>
        <w:t>②</w:t>
      </w:r>
      <w:r>
        <w:rPr>
          <w:rFonts w:hint="eastAsia" w:ascii="仿宋_GB2312" w:hAnsi="Calibri" w:eastAsia="仿宋_GB2312"/>
          <w:sz w:val="24"/>
        </w:rPr>
        <w:t>上述三项基本做到，但总体表述不够清晰的，打3-4分；</w:t>
      </w:r>
    </w:p>
    <w:p>
      <w:pPr>
        <w:spacing w:line="360" w:lineRule="auto"/>
        <w:ind w:firstLine="555"/>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上述三项内容每缺少一项扣2分；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④形成的工作记录无资产评估专业人员签字或签署日期的，每存在一种情形加扣1分；</w:t>
      </w:r>
    </w:p>
    <w:p>
      <w:pPr>
        <w:spacing w:line="360" w:lineRule="auto"/>
        <w:ind w:firstLine="555"/>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无任何相关工作记录或经分析判断所采取的措施不恰当或经分析判断经采取措施弥补程序缺失仍对评估结论产生重大影响的，打0分。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（五）收集整理评估资料并进行核查验证</w:t>
      </w:r>
    </w:p>
    <w:p>
      <w:pPr>
        <w:spacing w:line="360" w:lineRule="auto"/>
        <w:ind w:firstLine="426"/>
        <w:rPr>
          <w:rFonts w:hint="eastAsia" w:ascii="仿宋_GB2312" w:hAnsi="Calibri" w:eastAsia="仿宋_GB2312"/>
          <w:b/>
          <w:sz w:val="24"/>
        </w:rPr>
      </w:pPr>
      <w:r>
        <w:rPr>
          <w:rFonts w:hint="eastAsia" w:ascii="仿宋_GB2312" w:hAnsi="Calibri" w:eastAsia="仿宋_GB2312"/>
          <w:b/>
          <w:sz w:val="24"/>
        </w:rPr>
        <w:t>适当性的判断标准和原则：检查人员应结合被检查评估项目的具体情况，判断以下收集的评估资料对于是否具有重要性和必须性，是否有助于评估人员对评估项目存在的风险识别方面、评估信息的完整有效方面、评估结果的真实准确方面提供依据；</w:t>
      </w:r>
    </w:p>
    <w:p>
      <w:pPr>
        <w:spacing w:line="360" w:lineRule="auto"/>
        <w:ind w:firstLine="426"/>
        <w:rPr>
          <w:rFonts w:hint="eastAsia" w:ascii="仿宋_GB2312" w:hAnsi="Calibri" w:eastAsia="仿宋_GB2312"/>
          <w:b/>
          <w:sz w:val="24"/>
        </w:rPr>
      </w:pPr>
      <w:r>
        <w:rPr>
          <w:rFonts w:hint="eastAsia" w:ascii="仿宋_GB2312" w:hAnsi="Calibri" w:eastAsia="仿宋_GB2312"/>
          <w:b/>
          <w:sz w:val="24"/>
        </w:rPr>
        <w:t>可靠性的判断标准和原则：从资料的取得途径来看，外部途径取得的资料和信息可靠性高于被评估单位内部提供的，政府职能部门提供的资料和信息可靠性高于一般外部途径获取的，多途径获取的资料和信息可靠性高于唯一途径获取的。</w:t>
      </w:r>
    </w:p>
    <w:p>
      <w:pPr>
        <w:pStyle w:val="3"/>
        <w:adjustRightInd w:val="0"/>
        <w:snapToGrid w:val="0"/>
        <w:spacing w:line="360" w:lineRule="auto"/>
        <w:ind w:left="0" w:firstLine="494" w:firstLineChars="206"/>
        <w:jc w:val="both"/>
        <w:rPr>
          <w:rFonts w:hint="eastAsia" w:ascii="仿宋_GB2312" w:hAnsi="仿宋" w:eastAsia="仿宋_GB2312"/>
          <w:sz w:val="24"/>
          <w:szCs w:val="24"/>
          <w:lang w:val="en-US"/>
        </w:rPr>
      </w:pPr>
      <w:r>
        <w:rPr>
          <w:rFonts w:hint="eastAsia" w:ascii="仿宋_GB2312" w:hAnsi="仿宋" w:eastAsia="仿宋_GB2312"/>
          <w:sz w:val="24"/>
          <w:szCs w:val="24"/>
          <w:lang w:val="en-US"/>
        </w:rPr>
        <w:t>适用准则：</w:t>
      </w:r>
      <w:r>
        <w:rPr>
          <w:rFonts w:hint="eastAsia" w:ascii="仿宋_GB2312" w:hAnsi="仿宋" w:eastAsia="仿宋_GB2312"/>
          <w:sz w:val="24"/>
          <w:szCs w:val="24"/>
        </w:rPr>
        <w:t>《资产评估执业准则——资产评估程序》第六条“ 执行资产评估业务，因法律法规规定、客观条件限制，无法或者不能完全履行资产评估基本程序，经采取措施弥补程序缺失，且未对评估结论产生重大影响时，资产评估机构及其资产评估专业人员可以继续开展业务，对评估结论产生重大影响或者无法判断其影响程度的，不得出具资产评估报告。”</w:t>
      </w:r>
    </w:p>
    <w:p>
      <w:pPr>
        <w:pStyle w:val="3"/>
        <w:adjustRightInd w:val="0"/>
        <w:snapToGrid w:val="0"/>
        <w:spacing w:line="360" w:lineRule="auto"/>
        <w:ind w:left="0" w:firstLine="494" w:firstLineChars="206"/>
        <w:jc w:val="both"/>
        <w:rPr>
          <w:rFonts w:hint="eastAsia" w:ascii="仿宋_GB2312" w:eastAsia="仿宋_GB2312"/>
          <w:sz w:val="24"/>
          <w:szCs w:val="24"/>
        </w:rPr>
      </w:pPr>
      <w:r>
        <w:rPr>
          <w:rFonts w:hint="eastAsia" w:ascii="仿宋_GB2312" w:hAnsi="仿宋" w:eastAsia="仿宋_GB2312"/>
          <w:sz w:val="24"/>
          <w:szCs w:val="24"/>
        </w:rPr>
        <w:t>《资产评估执业准则——资产评估程序》第七条“资产评估专业人员应当记录评估程序履行情况，形成工作底稿。”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仿宋" w:eastAsia="仿宋_GB2312"/>
          <w:sz w:val="24"/>
          <w:szCs w:val="24"/>
          <w:lang w:val="en-US"/>
        </w:rPr>
      </w:pPr>
      <w:r>
        <w:rPr>
          <w:rFonts w:hint="eastAsia" w:ascii="仿宋_GB2312" w:hAnsi="仿宋" w:eastAsia="仿宋_GB2312"/>
          <w:sz w:val="24"/>
          <w:szCs w:val="24"/>
        </w:rPr>
        <w:t>《资产评估执业准则——资产评估程序》第十三条</w:t>
      </w:r>
      <w:r>
        <w:rPr>
          <w:rFonts w:hint="eastAsia" w:ascii="仿宋_GB2312" w:hAnsi="仿宋" w:eastAsia="仿宋_GB2312"/>
          <w:sz w:val="24"/>
          <w:szCs w:val="24"/>
          <w:lang w:val="en-US"/>
        </w:rPr>
        <w:t>“ 资产评估专业人员应当根据资产评估业务具体情况收集资产评估业务需要的资料。包括：委托人或者其他相关当事人提供的涉及评估对象和评估范围等资料；从政府部门、各类专业机构以及市场等渠道获取的其他资料。”</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《资产评估执业准则——资产评估程序》第十四条</w:t>
      </w:r>
      <w:r>
        <w:rPr>
          <w:rFonts w:hint="eastAsia" w:ascii="仿宋_GB2312" w:hAnsi="仿宋" w:eastAsia="仿宋_GB2312"/>
          <w:sz w:val="24"/>
          <w:szCs w:val="24"/>
          <w:lang w:val="en-US"/>
        </w:rPr>
        <w:t>“</w:t>
      </w:r>
      <w:r>
        <w:rPr>
          <w:rFonts w:hint="eastAsia" w:ascii="仿宋_GB2312" w:hAnsi="仿宋" w:eastAsia="仿宋_GB2312"/>
          <w:sz w:val="24"/>
          <w:szCs w:val="24"/>
        </w:rPr>
        <w:t>资产评估专业人员应当要求委托人或者其他相关当事人提供涉及评估对象和评估范围的必要资料。资产评估专业人员应当要求委托人或者其他相关当事人对其提供的资产评估明细表及其他重要资料进行确认，确认方式包括签字、盖章及法律允许的其他方式。</w:t>
      </w:r>
      <w:r>
        <w:rPr>
          <w:rFonts w:hint="eastAsia" w:ascii="仿宋_GB2312" w:hAnsi="仿宋" w:eastAsia="仿宋_GB2312"/>
          <w:sz w:val="24"/>
          <w:szCs w:val="24"/>
          <w:lang w:val="en-US"/>
        </w:rPr>
        <w:t>”</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《资产评估执业准则——资产评估程序》第十五条“资产评估专业人员应当依法对资产评估活动中使用的资料进行核查验证。核查验证的方式通常包括观察、询问、书面审查、实地调查、查询、函证、复核等。”</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六条“超出资产评估专业人员专业能力范畴的核查验证事项，资产评估机构应当委托或者要求委托人委托其他专业机构或者专家出具意见。因法律法规规定、客观条件限制无法实施核查验证的事项，资产评估专业人员应当在工作底稿中予以说明，分析其对评估结论的影响程度,并在资产评估报告中予以披露。如果上述事项对评估结论产生重大影响或者无法判断其影响程度，资产评估机构不得出具资产评估报告。”</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1.收集委托人或者其他相关当事人提供的资料并进行核查验证</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应当要求委托人或者其他相关当事人提供涉及评估对象和评估范围的必要资料（根据业务情况判断必要资料范围）。必要资料一般包括：资产评估明细表，评估对象的权属证明资料，相关技术资料、检查报告、运行记录、设计概算、工程图纸、竣工决算资料等，以及相关说明、证明和承诺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a.对于实行登记制度的评估对象的产权证明文件需要取得完整、有效的产权证明文件复印件；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b.对于其他资产的法律证明文件进行关注，并取得重大资产的产权证明文件（合同、发票等）复印件；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c.如果资产有产权瑕疵，应当取得委托人及相关当事人提供的说明、证明和承诺。</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t>②资产评估专业人员应当要求委托人或者其他相关当事人对其提供的资产评估明细表及其他重要资料进行确认，确认方式包括签字、盖章及法律允许的其他方式。</w:t>
      </w:r>
    </w:p>
    <w:p>
      <w:pPr>
        <w:spacing w:line="360" w:lineRule="auto"/>
        <w:ind w:firstLine="480" w:firstLineChars="200"/>
        <w:jc w:val="left"/>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资产评估专业人员应当依法对资产评估活动中使用的资料进行核查验证。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firstLine="480" w:firstLineChars="200"/>
        <w:jc w:val="left"/>
        <w:rPr>
          <w:rFonts w:hint="eastAsia" w:ascii="仿宋_GB2312" w:eastAsia="仿宋_GB2312"/>
          <w:sz w:val="24"/>
        </w:rPr>
      </w:pPr>
      <w:r>
        <w:rPr>
          <w:rFonts w:hint="eastAsia" w:ascii="仿宋_GB2312" w:eastAsia="仿宋_GB2312"/>
          <w:sz w:val="24"/>
        </w:rPr>
        <w:t>④资产评估专业人员应针对核查验证、分析、归纳和整理工作形成记录，明确意见。</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上述四点完全做到，形成的工作底稿内容完整，记录清晰，意见明确，打5分；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②重要资料收集不够完整，经分析判断认为未对评估结论产生重大影响的，打3-4分；经分析判断认为很可能对评估结论产生重大影响的，打2-3分；对于重要资料完全未收集的，打0分；</w:t>
      </w:r>
    </w:p>
    <w:p>
      <w:pPr>
        <w:spacing w:line="360" w:lineRule="auto"/>
        <w:ind w:firstLine="470" w:firstLineChars="196"/>
        <w:rPr>
          <w:rFonts w:hint="eastAsia" w:ascii="仿宋_GB2312" w:hAnsi="Calibri" w:eastAsia="仿宋_GB2312"/>
          <w:sz w:val="24"/>
        </w:rPr>
      </w:pPr>
      <w:r>
        <w:rPr>
          <w:rFonts w:hint="eastAsia" w:ascii="仿宋_GB2312" w:eastAsia="仿宋_GB2312"/>
          <w:sz w:val="24"/>
        </w:rPr>
        <w:t>③</w:t>
      </w:r>
      <w:r>
        <w:rPr>
          <w:rFonts w:hint="eastAsia" w:ascii="仿宋_GB2312" w:hAnsi="Calibri" w:eastAsia="仿宋_GB2312"/>
          <w:sz w:val="24"/>
        </w:rPr>
        <w:t>存在委托人或者其他相关当事人未对其提供的资产评估明细表及其他重要资料进行确认的，根据分析判断的严重程度打2-3分；</w:t>
      </w:r>
    </w:p>
    <w:p>
      <w:pPr>
        <w:spacing w:line="360" w:lineRule="auto"/>
        <w:ind w:firstLine="470" w:firstLineChars="196"/>
        <w:rPr>
          <w:rFonts w:hint="eastAsia" w:ascii="仿宋_GB2312" w:hAnsi="Calibri" w:eastAsia="仿宋_GB2312"/>
          <w:sz w:val="24"/>
        </w:rPr>
      </w:pPr>
      <w:r>
        <w:rPr>
          <w:rFonts w:hint="eastAsia" w:ascii="仿宋_GB2312" w:eastAsia="仿宋_GB2312"/>
          <w:sz w:val="24"/>
        </w:rPr>
        <w:t>④</w:t>
      </w:r>
      <w:r>
        <w:rPr>
          <w:rFonts w:hint="eastAsia" w:ascii="仿宋_GB2312" w:hAnsi="Calibri" w:eastAsia="仿宋_GB2312"/>
          <w:sz w:val="24"/>
        </w:rPr>
        <w:t>资产评估专业人员对收集的重要资料进行核查验证、分析、归纳和整理过程记录不够清晰或意见不明确的，每存在一种情形扣1分；无资产评估专业人员对收集的重要资料进行核查验证、分析、归纳和整理过程记录的，扣2分；</w:t>
      </w:r>
    </w:p>
    <w:p>
      <w:pPr>
        <w:spacing w:line="360" w:lineRule="auto"/>
        <w:ind w:firstLine="470" w:firstLineChars="196"/>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对于开展了核查验证、分析、归纳和整理工作，但无执行人员以适当的方式签名及签署日期确认的，扣1分。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2.收集市场调查信息资料（市场法）并进行核查验证</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资产评估专业人员应当根据资产评估业务具体情况收集资产评估业务需要的外部资料（根据业务情况判断必要资料范围），一般包括：从政府部门、各类专业机构以及市场等渠道获取的其他资料。</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a.收集的交易案例的数量充分（3个以上），且符合比较条件；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t>b.交易案例与评估对象的可比性较强，如实物状况和权益状况相似、成交基准日与评估基准日接近、交易类型与评估目的吻合、成交价格为正常价格或者可修正为正常价格；</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c.交易案例信息充分具体，如有交易案例的基本情况描述、成交日期、成交价格（总价、单价）、交易情况等内容。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资产评估专业人员应当依法对资产评估活动中使用的资料进行核查验证，以合理确信信息的真实性和可靠性。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left="239" w:leftChars="114" w:firstLine="230" w:firstLineChars="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资产评估专业人员应针对核查验证工作形成记录，明确意见。</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上述三点完全做到，形成的工作底稿内容完整，记录清晰，意见明确，打5分；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交易案例数量不足或可比性不强，经分析判断认为未对评估结论产生重大影响的，打3-4分；经分析判断认为很可能对评估结论产生重大影响的，打2-3分；无交易案例或选取的交易案例不具可比性，打0分；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案例信息内容不够充分具体，根据分析判断的严重程度打2-3分；无交易案例信息记录，打0分；</w:t>
      </w:r>
    </w:p>
    <w:p>
      <w:pPr>
        <w:spacing w:line="360" w:lineRule="auto"/>
        <w:ind w:firstLine="470" w:firstLineChars="196"/>
        <w:rPr>
          <w:rFonts w:hint="eastAsia" w:ascii="仿宋_GB2312" w:hAnsi="Calibri" w:eastAsia="仿宋_GB2312"/>
          <w:sz w:val="24"/>
        </w:rPr>
      </w:pPr>
      <w:r>
        <w:rPr>
          <w:rFonts w:hint="eastAsia" w:ascii="仿宋_GB2312" w:eastAsia="仿宋_GB2312"/>
          <w:sz w:val="24"/>
        </w:rPr>
        <w:t>④</w:t>
      </w:r>
      <w:r>
        <w:rPr>
          <w:rFonts w:hint="eastAsia" w:ascii="仿宋_GB2312" w:hAnsi="Calibri" w:eastAsia="仿宋_GB2312"/>
          <w:sz w:val="24"/>
        </w:rPr>
        <w:t>资产评估专业人员对收集的案例信息等进行了核查验证，但记录不够清晰或意见不明确的，每存在一种情形扣1分；无资产评估专业人员对收集的重要资料进行核查验证记录的，扣2分；</w:t>
      </w:r>
    </w:p>
    <w:p>
      <w:pPr>
        <w:spacing w:line="360" w:lineRule="auto"/>
        <w:ind w:firstLine="470" w:firstLineChars="196"/>
        <w:rPr>
          <w:rFonts w:hint="eastAsia" w:ascii="仿宋_GB2312" w:hAnsi="Calibri" w:eastAsia="仿宋_GB2312"/>
          <w:sz w:val="24"/>
        </w:rPr>
      </w:pPr>
      <w:r>
        <w:rPr>
          <w:rFonts w:hint="eastAsia" w:ascii="仿宋_GB2312" w:eastAsia="仿宋_GB2312"/>
          <w:sz w:val="24"/>
        </w:rPr>
        <w:t>⑤</w:t>
      </w:r>
      <w:r>
        <w:rPr>
          <w:rFonts w:hint="eastAsia" w:ascii="仿宋_GB2312" w:hAnsi="Calibri" w:eastAsia="仿宋_GB2312"/>
          <w:sz w:val="24"/>
        </w:rPr>
        <w:t>对于所收集的资料开展了核查验证工作的，但无资产评估人员以适当的方式形成记录的，扣1分。</w:t>
      </w:r>
    </w:p>
    <w:p>
      <w:pPr>
        <w:spacing w:line="360" w:lineRule="auto"/>
        <w:ind w:firstLine="590" w:firstLineChars="245"/>
        <w:rPr>
          <w:rFonts w:hint="eastAsia" w:ascii="仿宋_GB2312" w:hAnsi="Calibri" w:eastAsia="仿宋_GB2312"/>
          <w:b/>
          <w:sz w:val="24"/>
        </w:rPr>
      </w:pPr>
      <w:r>
        <w:rPr>
          <w:rFonts w:hint="eastAsia" w:ascii="仿宋_GB2312" w:hAnsi="Calibri" w:eastAsia="仿宋_GB2312"/>
          <w:b/>
          <w:sz w:val="24"/>
        </w:rPr>
        <w:t>3.收集预测数据资料（收益法）并进行核查验证</w:t>
      </w:r>
    </w:p>
    <w:p>
      <w:pPr>
        <w:spacing w:line="360" w:lineRule="auto"/>
        <w:ind w:firstLine="590" w:firstLineChars="24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资产评估专业人员应当根据资产评估业务具体情况收集资产评估业务需要的外部资料（根据业务情况判断必要资料范围），一般包括：从政府部门、各类专业机构以及市场等渠道获取的其他资料。</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a.反映与评估对象收益情况相关市场或行业资料信息；</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b.反映评估对象收益期情况的资料信息；</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c.与确定折现率等相关参数的资料信息。</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资产评估专业人员应当依法对资产评估活动中使用的资料进行核查验证，以合理确信信息的真实性和可靠性。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left="239" w:leftChars="114" w:firstLine="230" w:firstLineChars="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资产评估专业人员应针对核查验证工作形成记录，明确意见。</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上述三点完全做到，收集的资料信息完整、充分，记录清晰，意见明确，打5分；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收集的主要资料信息不够完整、充分，根据分析判断的严重程度打2-3分；无收集资料信息记录，打0分；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对于所收集的资料开展了核查验证工作，但无资产评估人员以适当的方式形成记录的，扣1分。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4.收集询价记录和定价依据资料（成本法）并进行核查验证</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资产评估专业人员应当根据资产评估业务具体情况收集资产评估业务需要的资料（根据业务情况判断必要资料范围），一般包括：</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a.主要资产的询价记录；</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b.与确定资产重置成本相关的取价依据、取费依据等资料；</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c.与确定资产成新率或各贬值因素相关的资料；</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d.从政府部门、各类专业机构以及市场等渠道获取的其他资料。</w:t>
      </w:r>
    </w:p>
    <w:p>
      <w:pPr>
        <w:spacing w:line="360" w:lineRule="auto"/>
        <w:ind w:firstLine="480" w:firstLineChars="200"/>
        <w:jc w:val="left"/>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资产评估专业人员应当依法对资产评估活动中使用的资料进行核查验证，以合理确信信息的真实性和可靠性。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left="239" w:leftChars="114" w:firstLine="230" w:firstLineChars="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资产评估专业人员应针对核查验证工作形成记录，明确意见。</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上述三点完全做到，收集的资料完整、充分，记录清晰，意见明确，打5分；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收集的主要资料不够完整、充分，根据分析判断的严重程度打2-3分；无收集资料记录，打0分；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对于所收集的资料开展了核查验证工作，但无资产评估人员以适当的方式形成记录的，扣1分。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5.评估目的对应的经济行为文件</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适用准则：《资产评估执业准则——资产评估程序》第七条“资产评估专业人员应当记录评估程序履行情况，形成工作底稿。”</w:t>
      </w:r>
    </w:p>
    <w:p>
      <w:pPr>
        <w:spacing w:line="360" w:lineRule="auto"/>
        <w:ind w:firstLine="566" w:firstLineChars="236"/>
        <w:rPr>
          <w:rFonts w:hint="eastAsia" w:ascii="仿宋_GB2312" w:hAnsi="仿宋" w:eastAsia="仿宋_GB2312"/>
          <w:sz w:val="24"/>
        </w:rPr>
      </w:pPr>
      <w:r>
        <w:rPr>
          <w:rFonts w:hint="eastAsia" w:ascii="仿宋_GB2312" w:eastAsia="仿宋_GB2312"/>
          <w:sz w:val="24"/>
        </w:rPr>
        <w:t>《资产评估执业准则——资产评估程序》</w:t>
      </w:r>
      <w:r>
        <w:rPr>
          <w:rFonts w:hint="eastAsia" w:ascii="仿宋_GB2312" w:hAnsi="仿宋" w:eastAsia="仿宋_GB2312"/>
          <w:sz w:val="24"/>
        </w:rPr>
        <w:t>第八条“资产评估机构受理资产评估业务前，应当明确下列资产评估业务基本事项： ……（六）资产评估项目所涉及的需要</w:t>
      </w:r>
      <w:r>
        <w:rPr>
          <w:rFonts w:hint="eastAsia" w:ascii="仿宋_GB2312" w:eastAsia="仿宋_GB2312"/>
          <w:sz w:val="24"/>
        </w:rPr>
        <w:t>批准</w:t>
      </w:r>
      <w:r>
        <w:rPr>
          <w:rFonts w:hint="eastAsia" w:ascii="仿宋_GB2312" w:hAnsi="仿宋" w:eastAsia="仿宋_GB2312"/>
          <w:sz w:val="24"/>
        </w:rPr>
        <w:t>的经济行为的审批情况；”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收集经济行为文件，如果经济行为需要批准的，应收集其有效批准文件；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资产评估专业人员应当依法对资产评估活动中使用的资料进行核查验证。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完全具备以上检查要点，打5分；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检查要点</w:t>
      </w:r>
      <w:r>
        <w:rPr>
          <w:rFonts w:hint="eastAsia" w:ascii="仿宋_GB2312" w:eastAsia="仿宋_GB2312"/>
          <w:sz w:val="24"/>
        </w:rPr>
        <w:t>不完整，</w:t>
      </w:r>
      <w:r>
        <w:rPr>
          <w:rFonts w:hint="eastAsia" w:ascii="仿宋_GB2312" w:hAnsi="Calibri" w:eastAsia="仿宋_GB2312"/>
          <w:sz w:val="24"/>
        </w:rPr>
        <w:t>有证明表明评估人员开展了收集工作但相关当事人未提供的，视证据程度打1-4分;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关于经济行为文件及其批准文件无任何资料的，打0分。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6.委托人和产权持有人编写的《企业关于进行资产评估有关事项的说明》</w:t>
      </w:r>
    </w:p>
    <w:p>
      <w:pPr>
        <w:spacing w:line="360" w:lineRule="auto"/>
        <w:ind w:firstLine="555"/>
        <w:rPr>
          <w:rFonts w:hint="eastAsia" w:ascii="仿宋_GB2312" w:hAnsi="黑体" w:eastAsia="仿宋_GB2312"/>
          <w:sz w:val="24"/>
        </w:rPr>
      </w:pPr>
      <w:r>
        <w:rPr>
          <w:rFonts w:hint="eastAsia" w:ascii="仿宋_GB2312" w:hAnsi="黑体" w:eastAsia="仿宋_GB2312"/>
          <w:sz w:val="24"/>
        </w:rPr>
        <w:t>适用准则：《企业国有资产评估报告指南》第三十七条“委托人和被评估单位可以共同编写或者分别编写《企业关于进行资产评估有关事项的说明》。委托人单位负责人和被评估单位负责人应当对所编写的说明签名，加盖相应单位公章并签署日期。《企业关于进行资产评估有关事项的说明》包括以下内容：（一）委托人、被评估单位各自概况；（二）关于经济行为的说明；（三）关于评估对象与评估范围的说明；（四）关于评估基准日的说明；（五）可能影响评估工作的重大事项说明；（六）资产负债情况、未来经营和收益状况预测说明；（七）资料清单。”</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若涉及国资项目, 需收集委托人和产权持有人编写的《企业关于进行资产评估有关事项的说明》；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资产评估专业人员应当依法对资产评估活动中使用的资料进行核查验证。核查验证的方式通常包括观察、询问、书面审查、实地调查、查询、函证、复核等。因法律法规规定、客观条件限制无法实施核查验证的事项，资产评估专业人员应当在工作底稿中予以说明，分析其对评估结论的影响程度。</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完全具备以上检查要点，打5分；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检查要点</w:t>
      </w:r>
      <w:r>
        <w:rPr>
          <w:rFonts w:hint="eastAsia" w:ascii="仿宋_GB2312" w:eastAsia="仿宋_GB2312"/>
          <w:sz w:val="24"/>
        </w:rPr>
        <w:t>不完整，</w:t>
      </w:r>
      <w:r>
        <w:rPr>
          <w:rFonts w:hint="eastAsia" w:ascii="仿宋_GB2312" w:hAnsi="Calibri" w:eastAsia="仿宋_GB2312"/>
          <w:sz w:val="24"/>
        </w:rPr>
        <w:t>有证明表明评估人员开展了收集工作但相关当事人未提供的，视证据程度打1-4分;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国资业务中关于委托人和产权持有人编写的《企业关于进行资产评估有关事项的说明》无任何资料的，打0分。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（六）评定估算形成结论</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1.评估方法选择合理、恰当</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适用准则：</w:t>
      </w:r>
      <w:r>
        <w:rPr>
          <w:rFonts w:hint="eastAsia" w:ascii="仿宋_GB2312" w:hAnsi="仿宋" w:eastAsia="仿宋_GB2312"/>
          <w:sz w:val="24"/>
          <w:szCs w:val="24"/>
        </w:rPr>
        <w:t>《资产评估执业准则——资产评估程序》第七条“资产评估专业人员应当记录评估程序履行情况，形成工作底稿。”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《资产评估执业准则——资产评估程序》第十八条“ 资产评估专业人员应当根据评估目的、评估对象、价值类型、资料收集等情况，分析市场法、收益法和成本法三种资产评估基本方法的适用性，选择评估方法。”</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t>应当根据评估目的、评估对象、价值类型、资料收集等情况，分析成本法、市场法和收益法三种资产评估基本方法的适用性，选择评估方法。</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对评估方法的适用性进行了分析，并恰当地选取了适宜的评估方法，打5分；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虽未对评估方法的适用性进行分析，但所选取的评估方法适宜，打3分；</w:t>
      </w:r>
    </w:p>
    <w:p>
      <w:pPr>
        <w:spacing w:line="360" w:lineRule="auto"/>
        <w:ind w:firstLine="470" w:firstLineChars="19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未对评估方法的适用性进行分析，所选取的评估方法严重有误，导致评估结论与实际情况严重背离，打0分。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2.采用成本法的，确定重置成本和成新率（各相关贬值因素）的过程和结果</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仿宋" w:eastAsia="仿宋_GB2312"/>
          <w:sz w:val="24"/>
          <w:szCs w:val="24"/>
        </w:rPr>
      </w:pPr>
      <w:r>
        <w:rPr>
          <w:rFonts w:hint="eastAsia" w:ascii="仿宋_GB2312" w:hAnsi="仿宋" w:eastAsia="仿宋_GB2312"/>
          <w:sz w:val="24"/>
          <w:szCs w:val="24"/>
        </w:rPr>
        <w:t>《资产评估执业准则——资产评估程序》第十九条“资产评估专业人员应当根据所采用的评估方法，选取相应的公式和参数进行分析、计算和判断，形成测算结果。”</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（1）确定重置成本构成要素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a.应当合理确定被评估资产重置成本的构成要素（如必要的、合理的成本、利润和相关税费等），避免重复计算或者漏算；</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b.构成重置成本的取价（设备购置价、建筑工程直接费、工程造价等）、取费（设备安装费、运输费、基础费，建筑工程前期费等）准确、合理，依据充分；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a.主要资产重置成本构成要素合理，取价、取费准确，依据充分，打5分；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b.主要资产重置成本构成要素不够合理，或取价、取费依据不够充分，根据分析判断对评估结果的影响程度，打3-4分；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c.主要重置成本构成要素错误，或取价、取费错误，根据分析判断对评估结果的影响程度属于较严重的，打1-2分；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d.主要重置成本构成要素错误，或取价、取费错误，根据分析判断对评估结果的影响程度属于特别严重的，打0分。</w:t>
      </w:r>
    </w:p>
    <w:p>
      <w:pPr>
        <w:spacing w:line="360" w:lineRule="auto"/>
        <w:ind w:firstLine="482" w:firstLineChars="200"/>
        <w:rPr>
          <w:rFonts w:hint="eastAsia" w:ascii="仿宋_GB2312" w:hAnsi="Calibri" w:eastAsia="仿宋_GB2312"/>
          <w:sz w:val="24"/>
        </w:rPr>
      </w:pPr>
      <w:r>
        <w:rPr>
          <w:rFonts w:hint="eastAsia" w:ascii="仿宋_GB2312" w:hAnsi="Calibri" w:eastAsia="仿宋_GB2312"/>
          <w:b/>
          <w:sz w:val="24"/>
        </w:rPr>
        <w:t>（2）确定成新率，各项贬值因素考虑合理、完整，依据充分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a.应当全面考虑被评估资产的各种贬值因素；</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b.在确定实体性贬值时，应当综合考虑被评估资产的使用年限和实际使用状况等因素；</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c.在使用年限法考虑实体性贬值因素时，应当合理确定资产已使用年限、经济寿命年限等因素。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a.主要资产各项贬值因素考虑合理、完整，依据充分，打5分；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b.主要资产各项贬值因素考虑不够完整，或贬值因素取值依据不够充分，根据分析判断对评估结果的影响程度，打3-4分；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c.根据主要资产特点，贬值因素明显被遗漏、低估或夸大，或者确定实体性贬值未考虑资产实际使用状况，或者资产经济寿命年限确定不合理，根据分析判断对评估结果的影响程度属于较严重的，打1-2分；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d.根据主要资产特点，贬值因素明显被遗漏、低估或夸大，或者确定实体性贬值未考虑资产实际使用状况，或者资产经济寿命年限确定不合理，根据分析判断对评估结果的影响程度属于特别严重的，打0分。</w:t>
      </w:r>
    </w:p>
    <w:p>
      <w:pPr>
        <w:spacing w:line="360" w:lineRule="auto"/>
        <w:rPr>
          <w:rFonts w:hint="eastAsia" w:ascii="仿宋_GB2312" w:hAnsi="Calibri" w:eastAsia="仿宋_GB2312"/>
          <w:sz w:val="24"/>
        </w:rPr>
      </w:pPr>
      <w:r>
        <w:rPr>
          <w:rFonts w:hint="eastAsia" w:ascii="仿宋_GB2312" w:hAnsi="Calibri" w:eastAsia="仿宋_GB2312"/>
          <w:b/>
          <w:sz w:val="24"/>
        </w:rPr>
        <w:tab/>
      </w:r>
      <w:r>
        <w:rPr>
          <w:rFonts w:hint="eastAsia" w:ascii="仿宋_GB2312" w:hAnsi="Calibri" w:eastAsia="仿宋_GB2312"/>
          <w:b/>
          <w:sz w:val="24"/>
        </w:rPr>
        <w:t>（3）主要资产（包括案例资产）评估计算过程和结果</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a.重置成本确定过程清楚完整，计算结果正确；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b.成新率确定过程清楚完整，计算结果正确；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c.评估值确定（估值模型运用）过程清楚完整，估值计算正确；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d.针对所有资产形成反映评估值计算过程计算表。</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a.上述各点均做到，打5分；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b.主要资产重置成本确定或成新率确定或评估值确定过程不够清晰完整，视严重程度，打3-4分；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c.主要资产重置成本或成新率或评估值计算错误，根据分析判断对评估结果的影响程度属于较严重的，打1-2分；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d.主要资产重置成本或成新率或评估值计算错误，根据分析判断对评估结果的影响程度属于特别严重的，打0分；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e.无反映主要资产（包括案例资产）评估计算过程和结果记录，打0分。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3.采用市场法的，参照物与评估对象的可比性分析以及根据评估对象与参照物的差异进行必要调整的过程和结果</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《资产评估执业准则——资产评估程序》第十九条“资产评估专业人员应当根据所采用的评估方法，选取相应的公式和参数进行分析、计算和判断，形成测算结果。”</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 xml:space="preserve">（1）交易实例选择恰当、充分 </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a.收集足够的交易实例（3个以上）；</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b.交易实例和评估对象具有可比性和相似性:</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在区位、用途、规模、建筑结构、档次、权利性质等方面与评估对象类似；成交日期与评估基准日接近；交易类型与评估目的相适合；成交价格为正常价格或者可以修正为正常价格。</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a.上述两项均做到，打5分；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b.满足交易实例3个以上条件，而实际选取不足3个交易实例的，打3-4分；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c.交易实例和评估对象可比性和相似性较差的，打1-2分；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d.交易实例和评估对象完全不具有可比性和相似性的，打0分。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（2）实例信息描述完整、真实、可靠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a.选做交易实例的信息应当完整、真实、可靠（交易实例的基本状况、成交日期、成交价格、付款方式、交易情况等）；</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t>b.交易实例的价格可信。</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a.上述两项均做到，打5分；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b.交易实例信息不够充分、完整的，缺一项扣1分，直至0分；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c.交易实例的价格不是实际成交价格的，打1-2分。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d.完全不满足上述2项内容的，打0分。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（3）各项修正因素考虑合理、充分，逻辑关系正确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a.比较因素体系能够合理、全面地反映影响资产价值的因素。</w:t>
      </w:r>
    </w:p>
    <w:p>
      <w:pPr>
        <w:spacing w:line="360" w:lineRule="auto"/>
        <w:ind w:firstLine="555"/>
        <w:rPr>
          <w:rFonts w:hint="eastAsia" w:ascii="仿宋_GB2312" w:hAnsi="Calibri" w:eastAsia="仿宋_GB2312"/>
          <w:sz w:val="24"/>
        </w:rPr>
      </w:pPr>
      <w:r>
        <w:rPr>
          <w:rFonts w:hint="eastAsia" w:ascii="仿宋_GB2312" w:hAnsi="Calibri" w:eastAsia="仿宋_GB2312"/>
          <w:sz w:val="24"/>
        </w:rPr>
        <w:t>机器设备的比较因素有：个别因素、交易因素、地域因素和时间因素；</w:t>
      </w:r>
    </w:p>
    <w:p>
      <w:pPr>
        <w:spacing w:line="360" w:lineRule="auto"/>
        <w:ind w:firstLine="555"/>
        <w:rPr>
          <w:rFonts w:hint="eastAsia" w:ascii="仿宋_GB2312" w:hAnsi="Calibri" w:eastAsia="仿宋_GB2312"/>
          <w:sz w:val="24"/>
        </w:rPr>
      </w:pPr>
      <w:r>
        <w:rPr>
          <w:rFonts w:hint="eastAsia" w:ascii="仿宋_GB2312" w:hAnsi="Calibri" w:eastAsia="仿宋_GB2312"/>
          <w:sz w:val="24"/>
        </w:rPr>
        <w:t>不动产的比较因素有：交易情况修正、交易日期修正和不动产状况修正，其中不动产状况修正可分为区域状况修正、权益状况修正和实物状况修正。</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b.对于不同用途的资产，各修正因素的影响因素和权重比例设置恰当，逻辑关系正确。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a.修正因素设置不够全面或不够合理，视严重程度打3-4分；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b.各影响因素权重比例设置不够合理，视严重程度打3-4分；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c.各因素间逻辑关系存在不足，视严重程度打3-4分；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d.修正因素体系明显不完整，或者影响因素和权重比例设置明显不合理，或者逻辑关系明显不合理，根据分析判断对评估结果的影响程度属于较为严重的，打1-2分；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e.修正因素体系不完整，或者影响因素和权重比例设置不合理，或者逻辑关系不合理，根据分析判断对评估结果的影响程度属于特别严重的，打0分。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（4）评估计算过程和结果</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a.各因素取值确定过程清楚完整，计算结果正确；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b.各因素权重比例确定过程清楚完整，计算结果正确；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c.评估值确定（估值模型运用）过程清楚完整，计算正确；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d.针对所有资产形成了反映评估值计算过程工作表。</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a.上述各点均做到，打5分；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b.主要资产因素取值确定过程或各因素权重比例确定过程不够清晰完整，视严重程度打3-4分；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c.主要资产因素取值或权重比例或评估值计算错误，视严重程度打3-4分；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d.未针对所有资产形成反映评估值计算过程工作表，打1-2分；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e.无反映主要资产（包括案例资产）评估计算过程和结果记录，打0分。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4.采用收益法的，确定收益期限、预期收益和折现率等相关参数的过程和结果</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《资产评估执业准则——资产评估程序》第十九条“资产评估专业人员应当根据所采用的评估方法，选取相应的公式和参数进行分析、计算和判断，形成测算结果。”</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（1）确定收益期</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a.结合资产的法定寿命年限和经济寿命年限，合理确定收益期；</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b.机器设备的收益期应根据该设备的剩余经济寿命年限、市场竞争情况、国家能源、环保政策、资源储量等因素合理确定；</w:t>
      </w:r>
    </w:p>
    <w:p>
      <w:pPr>
        <w:spacing w:line="360" w:lineRule="auto"/>
        <w:ind w:firstLine="555"/>
        <w:rPr>
          <w:rFonts w:hint="eastAsia" w:ascii="仿宋_GB2312" w:hAnsi="Calibri" w:eastAsia="仿宋_GB2312"/>
          <w:sz w:val="24"/>
        </w:rPr>
      </w:pPr>
      <w:r>
        <w:rPr>
          <w:rFonts w:hint="eastAsia" w:ascii="仿宋_GB2312" w:hAnsi="Calibri" w:eastAsia="仿宋_GB2312"/>
          <w:sz w:val="24"/>
        </w:rPr>
        <w:t>c.不动产收益期应当结合建筑物剩余经济寿命年限与土地使用权剩余年限等情况，并根据有关法律法规的规定，合理确定。</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a.能合理确定收益期，且各项依据可靠、充分，打5分；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b.收益期的确定基本合理，各项依据基本可靠、充分，打3-4分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c.收益期的确定基本合理，部分依据明显不充分，打2-3分；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d.收益期确定明显不合理，或者无依据支持，打1-2分；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e.无相关分析记录，且根据分析判断对评估结果的影响程度属于特别严重的，打0分。</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t xml:space="preserve"> </w:t>
      </w:r>
      <w:r>
        <w:rPr>
          <w:rFonts w:hint="eastAsia" w:ascii="仿宋_GB2312" w:hAnsi="Calibri" w:eastAsia="仿宋_GB2312"/>
          <w:b/>
          <w:sz w:val="24"/>
        </w:rPr>
        <w:t>（2）量化预期收益</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a.确定资产预期收益时应当考虑未来收益和风险的合理预期，资产未来净收益的界定准确，预测的可靠性依据充分；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b.当未来收益预测趋势与被评估资产现实情况存在重大差异时，应对产生差异的原因及其合理性进行分析；</w:t>
      </w:r>
    </w:p>
    <w:p>
      <w:pPr>
        <w:spacing w:line="360" w:lineRule="auto"/>
        <w:ind w:firstLine="555"/>
        <w:rPr>
          <w:rFonts w:hint="eastAsia" w:ascii="仿宋_GB2312" w:hAnsi="Calibri" w:eastAsia="仿宋_GB2312"/>
          <w:sz w:val="24"/>
        </w:rPr>
      </w:pPr>
      <w:r>
        <w:rPr>
          <w:rFonts w:hint="eastAsia" w:ascii="仿宋_GB2312" w:hAnsi="Calibri" w:eastAsia="仿宋_GB2312"/>
          <w:sz w:val="24"/>
        </w:rPr>
        <w:t>c.运用收益法评估不动产时，有租约限制的，租约期内的租金宜采用租约所确定的租金，租约期外的租金应当采用正常客观的租金。</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a.合理确定预期收益，且依据可靠、充分，打5分；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b.预期收益的确定基本合理，部分依据充分性存在不足，打4分；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c.收益期的确定基本合理，部分依据较明显不充分，打3分；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d.预期收益确定明显不合理，或者净收益界定不准确，或者预测趋势与被评估资产现实情况存在重大差异而无合理原因，每出现上述3种情形中一种的，扣2分。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e.无相关分析记录，打0分。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（3）确定折现率</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a.合理完整地考虑折现率的各构成要素和影响因素，依据可靠、充分；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b.折现率口径与收益口径保持一致。</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b.折现率确定基本合理，各影响因素的确定依据基本可靠、充分，折现率口径与收益口径保持一致，打4分；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c.折现率确定基本合理，部分影响因素的确定依据充分性不足，折现率口径与收益口径保持一致，打3-4分；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e.收益期的确定不够合理，或部分依据明显不充分，打2-3分；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f.收益期的确定明显不合理，或主要依据明显不充分，或折现率口径与收益口径不一致，打0-1分；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g.无相关分析记录，打0分。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（4）评估计算过程和结果</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a.收益期运用过程清楚完整，计算结果正确；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b.预期收益确定过程清楚完整，计算结果正确；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c.折现率确定过程清楚完整，计算正确；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d.评估值确定（估值模型运用）过程清楚完整，计算正确；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e.针对所有资产形成了反映评估值计算过程工作表。</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a.上述各点均做到，打5分；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b.收益期运用过程或预期收益确定过程或折现率确定过程或评估值确定过程不够清晰完整，视严重程度，针对相关情形打3-4分；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c.收益期或预期收益或折现率或评估值存在计算错误，视严重程度，针对相关情形打3-4分；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d.未针对所有资产形成反映评估值计算过程工作表，打2-3分；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e.无反映主要资产（包括案例资产）评估计算过程和结果记录，打0分。</w:t>
      </w:r>
    </w:p>
    <w:p>
      <w:pPr>
        <w:spacing w:line="360" w:lineRule="auto"/>
        <w:ind w:firstLine="556"/>
        <w:rPr>
          <w:rFonts w:hint="eastAsia" w:ascii="仿宋_GB2312" w:hAnsi="Calibri" w:eastAsia="仿宋_GB2312"/>
          <w:b/>
          <w:sz w:val="24"/>
        </w:rPr>
      </w:pPr>
      <w:r>
        <w:rPr>
          <w:rFonts w:hint="eastAsia" w:ascii="仿宋_GB2312" w:hAnsi="Calibri" w:eastAsia="仿宋_GB2312"/>
          <w:b/>
          <w:sz w:val="24"/>
        </w:rPr>
        <w:t>5.评定估算结果</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资产评估执业准则——资产评估程序》第二十一条“资产评估专业人员应当对形成的测算结果进行综合分析，形成合理评估结论。对同一评估对象采用多种评估方法时，应当对采用各种方法评估形成的测算结果进行分析比较，形成合理评估结论。”</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《资产评估基本准则》第五条“资产评估机构及其资产评估专业人员应当诚实守信，勤勉尽责……”</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同时采用两种或两种以上评估方法进行估值的，最终选取定价方法的理由及依据是否充分；计算结果是否因评定估算过程中存在失误或错误而影响其准确性。</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t>（2）打分要求：</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各项评定估算过程和结果均正确无误，打5分；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评估计算错误，单项计算结果错误金额绝对值累计占评估结论比例≤2%，打4分；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评估计算错误，单项计算结果错误金额绝对值累计占评估结论比例在2--5%（含）之间，打3分；</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评估计算错误，单项计算结果错误金额绝对值累计占评估结论比例在5-7%（含）之间，打2分；</w:t>
      </w:r>
    </w:p>
    <w:p>
      <w:pPr>
        <w:spacing w:line="360" w:lineRule="auto"/>
        <w:ind w:firstLine="480" w:firstLineChars="200"/>
        <w:rPr>
          <w:rFonts w:hint="eastAsia" w:ascii="仿宋_GB2312" w:eastAsia="仿宋_GB2312"/>
          <w:sz w:val="24"/>
        </w:rPr>
      </w:pPr>
      <w:r>
        <w:rPr>
          <w:rFonts w:hint="eastAsia" w:ascii="仿宋_GB2312" w:hAnsi="Calibri" w:eastAsia="仿宋_GB2312"/>
          <w:sz w:val="24"/>
        </w:rPr>
        <w:t>⑤</w:t>
      </w:r>
      <w:r>
        <w:rPr>
          <w:rFonts w:hint="eastAsia" w:ascii="仿宋_GB2312" w:eastAsia="仿宋_GB2312"/>
          <w:sz w:val="24"/>
        </w:rPr>
        <w:t>评估计算错误，单项计算结果错误金额绝对值累计占评估结论比例在7-10%（含）之间，打1分；</w:t>
      </w:r>
    </w:p>
    <w:p>
      <w:pPr>
        <w:spacing w:line="360" w:lineRule="auto"/>
        <w:ind w:firstLine="480" w:firstLineChars="200"/>
        <w:rPr>
          <w:rFonts w:hint="eastAsia" w:ascii="仿宋_GB2312" w:eastAsia="仿宋_GB2312"/>
          <w:sz w:val="24"/>
        </w:rPr>
      </w:pPr>
      <w:r>
        <w:rPr>
          <w:rFonts w:hint="eastAsia" w:ascii="仿宋_GB2312" w:hAnsi="Calibri" w:eastAsia="仿宋_GB2312"/>
          <w:sz w:val="24"/>
        </w:rPr>
        <w:t>⑥</w:t>
      </w:r>
      <w:r>
        <w:rPr>
          <w:rFonts w:hint="eastAsia" w:ascii="仿宋_GB2312" w:eastAsia="仿宋_GB2312"/>
          <w:sz w:val="24"/>
        </w:rPr>
        <w:t>评估计算错误，单项计算结果错误金额绝对值累计占评估结论比例在10%以上，打0分。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w:t>
      </w:r>
      <w:r>
        <w:rPr>
          <w:rFonts w:hint="eastAsia" w:ascii="仿宋_GB2312" w:hAnsi="Calibri" w:eastAsia="仿宋_GB2312"/>
          <w:b/>
          <w:sz w:val="24"/>
        </w:rPr>
        <w:tab/>
      </w:r>
      <w:r>
        <w:rPr>
          <w:rFonts w:hint="eastAsia" w:ascii="仿宋_GB2312" w:hAnsi="Calibri" w:eastAsia="仿宋_GB2312"/>
          <w:b/>
          <w:sz w:val="24"/>
        </w:rPr>
        <w:t>七）评估机构内部复核工作</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适用准则：《资产评估执业准则——资产评估程序》第七条“资产评估专业人员应当记录评估程序履行情况，形成工作底稿。”</w:t>
      </w:r>
    </w:p>
    <w:p>
      <w:pPr>
        <w:pStyle w:val="3"/>
        <w:adjustRightInd w:val="0"/>
        <w:snapToGrid w:val="0"/>
        <w:spacing w:line="360" w:lineRule="auto"/>
        <w:ind w:left="0" w:firstLine="494" w:firstLineChars="206"/>
        <w:jc w:val="both"/>
        <w:rPr>
          <w:rFonts w:hint="eastAsia" w:ascii="仿宋_GB2312" w:hAnsi="黑体" w:eastAsia="仿宋_GB2312" w:cs="Times New Roman"/>
          <w:kern w:val="2"/>
          <w:sz w:val="24"/>
          <w:szCs w:val="24"/>
          <w:lang w:val="en-US" w:bidi="ar-SA"/>
        </w:rPr>
      </w:pPr>
      <w:r>
        <w:rPr>
          <w:rFonts w:hint="eastAsia" w:ascii="仿宋_GB2312" w:hAnsi="黑体" w:eastAsia="仿宋_GB2312" w:cs="Times New Roman"/>
          <w:kern w:val="2"/>
          <w:sz w:val="24"/>
          <w:szCs w:val="24"/>
          <w:lang w:val="en-US" w:bidi="ar-SA"/>
        </w:rPr>
        <w:t>《资产评估执业准则——资产评估程序》第二十三条“资产评估机构应当按照法律、行政法规、资产评估准则和资产评估机构内部质量控制制度，对初步资产评估报告进行内部审核。”</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（1）复核记录所反映的复核程序应当与其质控制度保持一致；</w:t>
      </w:r>
    </w:p>
    <w:p>
      <w:pPr>
        <w:spacing w:line="360" w:lineRule="auto"/>
        <w:ind w:firstLine="555"/>
        <w:rPr>
          <w:rFonts w:hint="eastAsia" w:ascii="仿宋_GB2312" w:hAnsi="Calibri" w:eastAsia="仿宋_GB2312"/>
          <w:sz w:val="24"/>
        </w:rPr>
      </w:pPr>
      <w:r>
        <w:rPr>
          <w:rFonts w:hint="eastAsia" w:ascii="仿宋_GB2312" w:hAnsi="Calibri" w:eastAsia="仿宋_GB2312"/>
          <w:sz w:val="24"/>
        </w:rPr>
        <w:t>（2）复核意见应真实反映机构内部审核工作开展情况；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t>（3）复核意见应清晰、具体，体现实质性复核内容；</w:t>
      </w:r>
    </w:p>
    <w:p>
      <w:pPr>
        <w:spacing w:line="360" w:lineRule="auto"/>
        <w:ind w:firstLine="555"/>
        <w:rPr>
          <w:rFonts w:hint="eastAsia" w:ascii="仿宋_GB2312" w:hAnsi="Calibri" w:eastAsia="仿宋_GB2312"/>
          <w:sz w:val="24"/>
        </w:rPr>
      </w:pPr>
      <w:r>
        <w:rPr>
          <w:rFonts w:hint="eastAsia" w:ascii="仿宋_GB2312" w:hAnsi="Calibri" w:eastAsia="仿宋_GB2312"/>
          <w:sz w:val="24"/>
        </w:rPr>
        <w:t>（4）各级复核记录保存完整。</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（1）完全做到上述四点，打5分；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（2）记录的复核意见表述不够清晰、具体，打3-4分；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（3）记录的复核意见表表述明显流于形式，无实质性内容的，打2-3分；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（4）评估报告和工作底稿存在问题较多，但复核意见未见记录的，视问题严重程度打1-2分；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（5）在质控制度规定的级别内，缺少一级复核意见记录扣2分；无复核意见记录，打0分；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（6）无复核人签名及签署复核日期的扣1分。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（八）整理归集评估档案</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1.各种形式的归档底稿内容是否完整、一致</w:t>
      </w:r>
    </w:p>
    <w:p>
      <w:pPr>
        <w:spacing w:line="360" w:lineRule="auto"/>
        <w:ind w:firstLine="566" w:firstLineChars="236"/>
        <w:rPr>
          <w:rFonts w:hint="eastAsia" w:ascii="仿宋_GB2312" w:eastAsia="仿宋_GB2312"/>
          <w:sz w:val="24"/>
        </w:rPr>
      </w:pPr>
      <w:r>
        <w:rPr>
          <w:rFonts w:hint="eastAsia" w:ascii="仿宋_GB2312" w:eastAsia="仿宋_GB2312"/>
          <w:sz w:val="24"/>
          <w:lang w:eastAsia="zh-CN"/>
        </w:rPr>
        <w:t>适用准则：</w:t>
      </w:r>
      <w:r>
        <w:rPr>
          <w:rFonts w:hint="eastAsia" w:ascii="仿宋_GB2312" w:eastAsia="仿宋_GB2312"/>
          <w:sz w:val="24"/>
        </w:rPr>
        <w:t>《资产评估执业准则——资产评估档案》第二条“……纳入资产评估档案的资产评估报告应当包括初步资产评估报告和正式资产评估报告。”</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《资产评估执业准则——资产评估档案》第七条“工作底稿应当真实完整、重点突出、记录清晰……”</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《资产评估执业准则——资产评估档案》第九条“工作底稿通常分为管理类工作底稿和操作类工作底稿。管理类工作底稿是指在执行资产评估业务过程中，为受理、 计划、控制和管理资产评估业务所形成的工作记录及相关资料。操作类工作底稿是指在履行现场调查、收集评估资料和评定估算程序时所形成的工作记录及相关资料。”</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十二条“资产评估专业人员收集委托人或者其他相关当事人提供的资产评估明细表及其他重要资料作为工作底稿，应当由提供方对相关资料进行确认，确认方式包括签字、盖章或者法律允许的其他方式。资产评估项目所涉及的经济行为需要批准的，应当将批准文件归档。”</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《资产评估执业准则——资产评估档案》第十三条“工作底稿中应当反映内部审核过程。”</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《资产评估执业准则——资产评估档案》第十四条“资产评估专业人员应当根据资产评估业务特点和工作底稿类别，编制工作底稿目录，建立必要的索引号，以反映工作底稿间的勾稽关系。”</w:t>
      </w:r>
    </w:p>
    <w:p>
      <w:pPr>
        <w:spacing w:line="360" w:lineRule="auto"/>
        <w:ind w:firstLine="465"/>
        <w:rPr>
          <w:rFonts w:hint="eastAsia" w:ascii="仿宋_GB2312" w:hAnsi="Calibri" w:eastAsia="仿宋_GB2312"/>
          <w:b/>
          <w:sz w:val="24"/>
        </w:rPr>
      </w:pPr>
      <w:r>
        <w:rPr>
          <w:rFonts w:hint="eastAsia" w:ascii="仿宋_GB2312" w:hAnsi="Calibri" w:eastAsia="仿宋_GB2312"/>
          <w:b/>
          <w:sz w:val="24"/>
        </w:rPr>
        <w:t>（</w:t>
      </w:r>
      <w:r>
        <w:rPr>
          <w:rFonts w:hint="eastAsia" w:ascii="仿宋_GB2312" w:hAnsi="Calibri" w:eastAsia="仿宋_GB2312"/>
          <w:b/>
          <w:sz w:val="24"/>
          <w:lang w:val="en-US" w:eastAsia="zh-CN"/>
        </w:rPr>
        <w:t>1</w:t>
      </w:r>
      <w:r>
        <w:rPr>
          <w:rFonts w:hint="eastAsia" w:ascii="仿宋_GB2312" w:hAnsi="Calibri" w:eastAsia="仿宋_GB2312"/>
          <w:b/>
          <w:sz w:val="24"/>
        </w:rPr>
        <w:t>）检查要点：</w:t>
      </w:r>
      <w:bookmarkStart w:id="0" w:name="_GoBack"/>
      <w:bookmarkEnd w:id="0"/>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资产评估报告包括初步资产评估报告和正式资产评估报告；</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归档的管理类工作底稿内容是否清晰、完整，包括：资产评估业务基本事项的记录、资产评估委托合同、资产评估计划、资产评估业务执行过程中重大问题处理记录、资产评估报告的审核意见等；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归档的操作类工作底稿内容是否清晰、完整，包括：现场调查记录与相关资料、收集的评估资料、评定估算过程记录等 ；</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评估机构取得的需委托人或者其他相关当事人签字、盖章或者以法律允许的其他方式确认的资料（如资产评估明细表、关于进行资产评估有关事项说明及其他重要资料等）；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⑤资产评估项目所涉及的经济行为需要批准的，批准文件是否归档 ；</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⑥各级审核记录（包括外审记录）是否归档；</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⑦归档工作底稿记录的字迹是否清晰，是否编制了工作底稿目录，建立了必要的索引号。</w:t>
      </w:r>
    </w:p>
    <w:p>
      <w:pPr>
        <w:spacing w:line="360" w:lineRule="auto"/>
        <w:ind w:firstLine="46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完全做到上述七点，打5分；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各种形式的归档底稿内容基本完整、一致，且编制了部分索引号，打3-4分；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各种形式的归档底稿内容完整性、一致性较差，且没有编制索引号，打2分以下。</w:t>
      </w:r>
    </w:p>
    <w:p>
      <w:pPr>
        <w:spacing w:line="360" w:lineRule="auto"/>
        <w:ind w:firstLine="555"/>
        <w:rPr>
          <w:rFonts w:hint="eastAsia" w:ascii="仿宋_GB2312" w:hAnsi="仿宋"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上述内容缺少一条，扣1分，直至0分。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2.资产评估档案的归集</w:t>
      </w:r>
    </w:p>
    <w:p>
      <w:pPr>
        <w:spacing w:line="360" w:lineRule="auto"/>
        <w:ind w:firstLine="566" w:firstLineChars="236"/>
        <w:rPr>
          <w:rFonts w:hint="eastAsia" w:ascii="仿宋_GB2312" w:eastAsia="仿宋_GB2312"/>
          <w:sz w:val="24"/>
        </w:rPr>
      </w:pPr>
      <w:r>
        <w:rPr>
          <w:rFonts w:hint="eastAsia" w:ascii="仿宋_GB2312" w:eastAsia="仿宋_GB2312"/>
          <w:sz w:val="24"/>
        </w:rPr>
        <w:t>适用准则：《资产评估执业准则——资产评估档案》第十五条“资产评估专业人员通常应当在资产评估报告日后 90 日内将工作底稿、资产评估报告及其他相关资料归集形成资产评估档案，并在归档目录中注明文档介质形式。重大或者特殊项目的归档时限为评估结论使用有效期届满后 30 日内。”</w:t>
      </w:r>
    </w:p>
    <w:p>
      <w:pPr>
        <w:spacing w:line="360" w:lineRule="auto"/>
        <w:ind w:firstLine="566" w:firstLineChars="236"/>
        <w:rPr>
          <w:rFonts w:hint="eastAsia" w:ascii="仿宋_GB2312" w:eastAsia="仿宋_GB2312"/>
          <w:b/>
          <w:sz w:val="24"/>
        </w:rPr>
      </w:pPr>
      <w:r>
        <w:rPr>
          <w:rFonts w:hint="eastAsia" w:ascii="仿宋_GB2312" w:eastAsia="仿宋_GB2312"/>
          <w:sz w:val="24"/>
        </w:rPr>
        <w:t>《资产评估执业准则——资产评估档案》第十六条“资产评估委托合同、资产评估报告应当形成纸质文档。评估明细表、评估说明可以是纸质文档、电子文档或者其他介质形式的文档。同时以纸质和其他介质形式保存的文档，其内容应当相互匹配，不一致的以纸质文档为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工作底稿归档时间是否符合《资产评估准则-资产评估档案》的相关规定；</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电子文档或者其他介质的评估业务档案信息是否一致、匹配；</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归档目录中是否注明文档介质形式；</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eastAsia="仿宋_GB2312"/>
          <w:sz w:val="24"/>
        </w:rPr>
        <w:t>电子</w:t>
      </w:r>
      <w:r>
        <w:rPr>
          <w:rFonts w:hint="eastAsia" w:ascii="仿宋_GB2312" w:hAnsi="Calibri" w:eastAsia="仿宋_GB2312"/>
          <w:sz w:val="24"/>
        </w:rPr>
        <w:t>文档</w:t>
      </w:r>
      <w:r>
        <w:rPr>
          <w:rFonts w:hint="eastAsia" w:ascii="仿宋_GB2312" w:eastAsia="仿宋_GB2312"/>
          <w:sz w:val="24"/>
        </w:rPr>
        <w:t>或者其它介质形式的重要工作底稿，</w:t>
      </w:r>
      <w:r>
        <w:rPr>
          <w:rFonts w:hint="eastAsia" w:ascii="仿宋_GB2312" w:hAnsi="Calibri" w:eastAsia="仿宋_GB2312"/>
          <w:sz w:val="24"/>
        </w:rPr>
        <w:t>如资产评估委托合同、资产评估报告</w:t>
      </w:r>
      <w:r>
        <w:rPr>
          <w:rFonts w:hint="eastAsia" w:ascii="仿宋_GB2312" w:eastAsia="仿宋_GB2312"/>
          <w:sz w:val="24"/>
        </w:rPr>
        <w:t>应当同时形成纸质文档，评估明细表、评估说明可以是纸质文档、电子文档或者其他介质形式的文档</w:t>
      </w:r>
      <w:r>
        <w:rPr>
          <w:rFonts w:hint="eastAsia" w:ascii="仿宋_GB2312" w:hAnsi="Calibri" w:eastAsia="仿宋_GB2312"/>
          <w:sz w:val="24"/>
        </w:rPr>
        <w:t>。</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完全做到上述四点，打5分；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存在纸质文档与其他介质形式保存的文档内容不匹配的，扣1分；归档目录中未注明文档介质形式的，扣1分；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工作底稿归档时间不符合《资产评估准则-资产评估档案》中相关规定的，扣2分；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应同时形成纸质文档而未形成的，缺少一项扣1分，直至0分。</w:t>
      </w:r>
    </w:p>
    <w:p>
      <w:pPr>
        <w:spacing w:line="360" w:lineRule="auto"/>
        <w:ind w:firstLine="482" w:firstLineChars="200"/>
        <w:rPr>
          <w:rFonts w:hint="eastAsia" w:ascii="仿宋_GB2312" w:eastAsia="仿宋_GB2312"/>
          <w:b/>
          <w:sz w:val="24"/>
        </w:rPr>
      </w:pPr>
      <w:r>
        <w:rPr>
          <w:rFonts w:hint="eastAsia" w:ascii="仿宋_GB2312" w:eastAsia="仿宋_GB2312"/>
          <w:b/>
          <w:sz w:val="24"/>
        </w:rPr>
        <w:t>3.资产评估档案的管理</w:t>
      </w:r>
    </w:p>
    <w:p>
      <w:pPr>
        <w:spacing w:line="360" w:lineRule="auto"/>
        <w:ind w:firstLine="566" w:firstLineChars="236"/>
        <w:rPr>
          <w:rFonts w:hint="eastAsia" w:ascii="仿宋_GB2312" w:eastAsia="仿宋_GB2312"/>
          <w:sz w:val="24"/>
        </w:rPr>
      </w:pPr>
      <w:r>
        <w:rPr>
          <w:rFonts w:hint="eastAsia" w:ascii="仿宋_GB2312" w:hAnsi="黑体" w:eastAsia="仿宋_GB2312"/>
          <w:sz w:val="24"/>
        </w:rPr>
        <w:t>适用准则：</w:t>
      </w:r>
      <w:r>
        <w:rPr>
          <w:rFonts w:hint="eastAsia" w:ascii="仿宋_GB2312" w:eastAsia="仿宋_GB2312"/>
          <w:sz w:val="24"/>
        </w:rPr>
        <w:t>《资产评估执业准则——资产评估档案》第十七条“资产评估机构应当在法定保存期内妥善保存资产评估档案，保证资产评估档案安全和持续使用。资产评估档案自资产评估报告日起保存期限不少于十五年；属于法定资产评估业务的，不少于三十年。资产评估档案应当由资产评估机构集中统一管理，不得由原制作人单独分散保存。”</w:t>
      </w:r>
    </w:p>
    <w:p>
      <w:pPr>
        <w:spacing w:line="360" w:lineRule="auto"/>
        <w:ind w:firstLine="566" w:firstLineChars="236"/>
        <w:rPr>
          <w:rFonts w:hint="eastAsia" w:ascii="仿宋_GB2312" w:hAnsi="仿宋" w:eastAsia="仿宋_GB2312"/>
          <w:sz w:val="24"/>
        </w:rPr>
      </w:pPr>
      <w:r>
        <w:rPr>
          <w:rFonts w:hint="eastAsia" w:ascii="仿宋_GB2312" w:eastAsia="仿宋_GB2312"/>
          <w:sz w:val="24"/>
        </w:rPr>
        <w:t>《资产评估执业准则——资产评估档案》</w:t>
      </w:r>
      <w:r>
        <w:rPr>
          <w:rFonts w:hint="eastAsia" w:ascii="仿宋_GB2312" w:hAnsi="仿宋" w:eastAsia="仿宋_GB2312"/>
          <w:sz w:val="24"/>
        </w:rPr>
        <w:t>第十八条“资产评估机构不得对在法定保存期内的资产评估档案非法删改或者销毁。”</w:t>
      </w:r>
    </w:p>
    <w:p>
      <w:pPr>
        <w:spacing w:line="360" w:lineRule="auto"/>
        <w:ind w:firstLine="566" w:firstLineChars="236"/>
        <w:rPr>
          <w:rFonts w:hint="eastAsia" w:ascii="仿宋_GB2312" w:eastAsia="仿宋_GB2312"/>
          <w:sz w:val="24"/>
        </w:rPr>
      </w:pPr>
      <w:r>
        <w:rPr>
          <w:rFonts w:hint="eastAsia" w:ascii="仿宋_GB2312" w:eastAsia="仿宋_GB2312"/>
          <w:sz w:val="24"/>
        </w:rPr>
        <w:t>《资产评估执业准则——资产评估档案》第十九条“资产评估档案的管理应当严格执行保密制度。除下列情形外，资产评估档案不得对外提供：（一）国家机关依法调阅的；（二）资产评估协会依法依规调阅的；（三）其他依法依规查阅的。”</w:t>
      </w:r>
    </w:p>
    <w:p>
      <w:pPr>
        <w:spacing w:line="360" w:lineRule="auto"/>
        <w:ind w:firstLine="569" w:firstLineChars="236"/>
        <w:rPr>
          <w:rFonts w:hint="eastAsia" w:ascii="仿宋_GB2312" w:eastAsia="仿宋_GB2312"/>
          <w:b/>
          <w:sz w:val="24"/>
        </w:rPr>
      </w:pPr>
      <w:r>
        <w:rPr>
          <w:rFonts w:hint="eastAsia" w:ascii="仿宋_GB2312" w:eastAsia="仿宋_GB2312"/>
          <w:b/>
          <w:sz w:val="24"/>
        </w:rPr>
        <w:t>（1）检查要点：</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eastAsia="仿宋_GB2312"/>
          <w:sz w:val="24"/>
        </w:rPr>
        <w:t>在法定保存期内妥善保存资产评估档案；</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eastAsia="仿宋_GB2312"/>
          <w:sz w:val="24"/>
        </w:rPr>
        <w:t>资产评估档案由资产评估机构集中统一管理，不得由原制作人单独分散保存；</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eastAsia="仿宋_GB2312"/>
          <w:sz w:val="24"/>
        </w:rPr>
        <w:t>资产评估档案的管理应当严格执行保密制度，除国家机关、资产评估协会、其他依法调阅等情形外，资产评估档案不得对外提供。</w:t>
      </w:r>
    </w:p>
    <w:p>
      <w:pPr>
        <w:spacing w:line="360" w:lineRule="auto"/>
        <w:ind w:firstLine="555"/>
        <w:rPr>
          <w:rFonts w:hint="eastAsia" w:ascii="仿宋_GB2312" w:eastAsia="仿宋_GB2312"/>
          <w:b/>
          <w:sz w:val="24"/>
        </w:rPr>
      </w:pPr>
      <w:r>
        <w:rPr>
          <w:rFonts w:hint="eastAsia" w:ascii="仿宋_GB2312" w:eastAsia="仿宋_GB2312"/>
          <w:b/>
          <w:sz w:val="24"/>
        </w:rPr>
        <w:t>（2）打分要求：</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eastAsia="仿宋_GB2312"/>
          <w:sz w:val="24"/>
        </w:rPr>
        <w:t>完全做到上述三点，打5分；</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eastAsia="仿宋_GB2312"/>
          <w:sz w:val="24"/>
        </w:rPr>
        <w:t>法定保存期不符合要求，打3分；</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eastAsia="仿宋_GB2312"/>
          <w:sz w:val="24"/>
        </w:rPr>
        <w:t>资产评估档案由原制作人单独分散保存，未能由资产评估机构集中统一管理的，打2分以下；</w:t>
      </w:r>
    </w:p>
    <w:p>
      <w:pPr>
        <w:spacing w:line="360" w:lineRule="auto"/>
        <w:ind w:firstLine="555"/>
        <w:rPr>
          <w:rFonts w:hint="eastAsia" w:ascii="仿宋_GB2312"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eastAsia="仿宋_GB2312"/>
          <w:sz w:val="24"/>
        </w:rPr>
        <w:t>不符合第三点或者在法定保存期内，但无资产评估档案，打0分。</w:t>
      </w:r>
    </w:p>
    <w:p>
      <w:pPr>
        <w:spacing w:line="360" w:lineRule="auto"/>
        <w:ind w:firstLine="465"/>
        <w:rPr>
          <w:rFonts w:hint="eastAsia" w:ascii="仿宋_GB2312" w:hAnsi="Calibri" w:eastAsia="仿宋_GB2312"/>
          <w:sz w:val="24"/>
        </w:rPr>
      </w:pP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二、资产评估报告内容规范性及完备性</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（九）资产评估报告基本内容</w:t>
      </w:r>
    </w:p>
    <w:p>
      <w:pPr>
        <w:spacing w:line="360" w:lineRule="auto"/>
        <w:ind w:firstLine="566" w:firstLineChars="236"/>
        <w:rPr>
          <w:rFonts w:hint="eastAsia" w:ascii="仿宋_GB2312" w:eastAsia="仿宋_GB2312"/>
          <w:sz w:val="24"/>
        </w:rPr>
      </w:pPr>
      <w:r>
        <w:rPr>
          <w:rFonts w:hint="eastAsia" w:ascii="仿宋_GB2312" w:eastAsia="仿宋_GB2312"/>
          <w:color w:val="000000"/>
          <w:sz w:val="24"/>
        </w:rPr>
        <w:t>适用准则：《资产评估执业准则——资产评</w:t>
      </w:r>
      <w:r>
        <w:rPr>
          <w:rFonts w:hint="eastAsia" w:ascii="仿宋_GB2312" w:eastAsia="仿宋_GB2312"/>
          <w:sz w:val="24"/>
        </w:rPr>
        <w:t>估报告》第十一条“资产评估报告的内容包括：标题及文号、目录、声明、摘要、正文、附件。”</w:t>
      </w:r>
    </w:p>
    <w:p>
      <w:pPr>
        <w:spacing w:line="360" w:lineRule="auto"/>
        <w:ind w:firstLine="566" w:firstLineChars="236"/>
        <w:rPr>
          <w:rFonts w:hint="eastAsia" w:ascii="仿宋_GB2312" w:eastAsia="仿宋_GB2312"/>
          <w:color w:val="000000"/>
          <w:sz w:val="24"/>
        </w:rPr>
      </w:pPr>
      <w:r>
        <w:rPr>
          <w:rFonts w:hint="eastAsia" w:ascii="仿宋_GB2312" w:eastAsia="仿宋_GB2312"/>
          <w:color w:val="000000"/>
          <w:sz w:val="24"/>
        </w:rPr>
        <w:t>《资产评估执业准则——资产评</w:t>
      </w:r>
      <w:r>
        <w:rPr>
          <w:rFonts w:hint="eastAsia" w:ascii="仿宋_GB2312" w:eastAsia="仿宋_GB2312"/>
          <w:sz w:val="24"/>
        </w:rPr>
        <w:t>估报告》第十二条“资产评估报告的声明通常包括以下内容：（一）本资产评估报告依据财政部发布的资产评估基本准则和中国资产评估协会发布的资产评估执业准则和职业道德准则编制。（二）委托人或者其他资产评估报告使用人应当按照法律、行政法规规定和资产评估报告载明的使用范围使用资产评估报告；委托人或者其他资产评估报告使用人违反前述规定使</w:t>
      </w:r>
      <w:r>
        <w:rPr>
          <w:rFonts w:hint="eastAsia" w:ascii="仿宋_GB2312" w:eastAsia="仿宋_GB2312"/>
          <w:color w:val="000000"/>
          <w:sz w:val="24"/>
        </w:rPr>
        <w:t>用资产评估报告的，资产评估机构及其资产评估专业人员不承担责任。（三）资产评估报告仅供委托人、资产评估委托合同中约定的其他资产评估报告使用人和法律、行政法规规定的资产评估报告使用人使用；除此之外，其他任何机构和个人不能成为资产评估报告的使用人。（四）资产评估报告使用人应当正确理解和使用评估结论，评估结论不等同于评估对象可实现价格，评估结论不应当被认为是对评估对象可实现价格的保证。（五）资产评估报告使用人应当关注评估结论成立的假设前提、资产评估报告特别事项说明和使用限制。（六）资产评估机构及其资产评估专业人员遵守法律、行政法规和资产评估准则，坚持独立、客观、公正的原则，并对所出具的资产评估报告依法承担责任。（七）其他需要声明的内容。”</w:t>
      </w:r>
    </w:p>
    <w:p>
      <w:pPr>
        <w:spacing w:line="360" w:lineRule="auto"/>
        <w:ind w:firstLine="566" w:firstLineChars="236"/>
        <w:rPr>
          <w:rFonts w:hint="eastAsia" w:ascii="仿宋_GB2312" w:eastAsia="仿宋_GB2312"/>
          <w:color w:val="000000"/>
          <w:sz w:val="24"/>
        </w:rPr>
      </w:pPr>
      <w:r>
        <w:rPr>
          <w:rFonts w:hint="eastAsia" w:ascii="仿宋_GB2312" w:eastAsia="仿宋_GB2312"/>
          <w:color w:val="000000"/>
          <w:sz w:val="24"/>
        </w:rPr>
        <w:t>《资产评估执业准则——资产评</w:t>
      </w:r>
      <w:r>
        <w:rPr>
          <w:rFonts w:hint="eastAsia" w:ascii="仿宋_GB2312" w:eastAsia="仿宋_GB2312"/>
          <w:sz w:val="24"/>
        </w:rPr>
        <w:t>估报告》</w:t>
      </w:r>
      <w:r>
        <w:rPr>
          <w:rFonts w:hint="eastAsia" w:ascii="仿宋_GB2312" w:eastAsia="仿宋_GB2312"/>
          <w:color w:val="000000"/>
          <w:sz w:val="24"/>
        </w:rPr>
        <w:t>第十三条“资产评估报告摘要通常提供资产评估业务的主要信息及评估结论。”</w:t>
      </w:r>
    </w:p>
    <w:p>
      <w:pPr>
        <w:spacing w:line="360" w:lineRule="auto"/>
        <w:ind w:firstLine="555"/>
        <w:rPr>
          <w:rFonts w:hint="eastAsia" w:ascii="仿宋_GB2312" w:eastAsia="仿宋_GB2312"/>
          <w:color w:val="000000"/>
          <w:sz w:val="24"/>
        </w:rPr>
      </w:pPr>
      <w:r>
        <w:rPr>
          <w:rFonts w:hint="eastAsia" w:ascii="仿宋_GB2312" w:eastAsia="仿宋_GB2312"/>
          <w:color w:val="000000"/>
          <w:sz w:val="24"/>
        </w:rPr>
        <w:t>《企业国有资产评估报告指南》第三条“本指南所指企业国有资产评估报告（以下简称资产评估报告），由标题及文号、目录、声明、摘要、正文、附件、评估明细表和评估说明构成。”</w:t>
      </w:r>
    </w:p>
    <w:p>
      <w:pPr>
        <w:spacing w:line="360" w:lineRule="auto"/>
        <w:ind w:firstLine="555"/>
        <w:rPr>
          <w:rFonts w:hint="eastAsia" w:ascii="仿宋_GB2312" w:eastAsia="仿宋_GB2312"/>
          <w:color w:val="000000"/>
          <w:sz w:val="24"/>
        </w:rPr>
      </w:pPr>
      <w:r>
        <w:rPr>
          <w:rFonts w:hint="eastAsia" w:ascii="仿宋_GB2312" w:eastAsia="仿宋_GB2312"/>
          <w:color w:val="000000"/>
          <w:sz w:val="24"/>
        </w:rPr>
        <w:t>《企业国有资产评估报告指南》第七条“资产评估报告标题应当简明清晰，一般采用“企业名称+经济行为关键词+评估对象+资产评估报告”的形式。”</w:t>
      </w:r>
    </w:p>
    <w:p>
      <w:pPr>
        <w:spacing w:line="360" w:lineRule="auto"/>
        <w:ind w:firstLine="555"/>
        <w:rPr>
          <w:rFonts w:hint="eastAsia" w:ascii="仿宋_GB2312" w:eastAsia="仿宋_GB2312"/>
          <w:color w:val="000000"/>
          <w:sz w:val="24"/>
        </w:rPr>
      </w:pPr>
      <w:r>
        <w:rPr>
          <w:rFonts w:hint="eastAsia" w:ascii="仿宋_GB2312" w:eastAsia="仿宋_GB2312"/>
          <w:color w:val="000000"/>
          <w:sz w:val="24"/>
        </w:rPr>
        <w:t>《企业国有资产评估报告指南》第九条“资产评估报告声明通常包括以下内容：（一）本资产评估报告依据财政部发布的资产评估基本准则和中国资产评估协会发布的资产评估执业准则和职业道德准则编制。（二）委托人或者其他资产评估报告使用人应当按照法律、行政法规规定和资产评估报告载明的使用范围使用资产评估报告；委托人或者其他资产评估报告使用人违反前述规定使用资产评估报告的，资产评估机构及其资产评估师不承担责任。（三）资产评估报告仅供委托人、资产评估委托合同中约定的其他资产评估报告使用人和法律、行政法规规定的资产评估报告使用人使用；除此之外，其他任何机构和个人不能成为资产评估报告的使用人。（四）资产评估报告使用人应当正确理解评估结论，评估结论不等同于评估对象可实现价格，评估结论不应当被认为是对评估对象可实现价格的保证。（五）资产评估机构及其资产评估师遵守法律、行政法规和资产评估准则，坚持独立、客观、公正的原则，并对所出具的资产评估报告依法承担责任。（六） 资产评估报告使用人应当关注评估结论成立的假设前提、资产评估报告特别事项说明和使用限制。（七）其他需要声明的内容。”</w:t>
      </w:r>
    </w:p>
    <w:p>
      <w:pPr>
        <w:spacing w:line="360" w:lineRule="auto"/>
        <w:ind w:firstLine="555"/>
        <w:rPr>
          <w:rFonts w:hint="eastAsia" w:ascii="仿宋_GB2312" w:hAnsi="黑体" w:eastAsia="仿宋_GB2312"/>
          <w:b/>
          <w:sz w:val="24"/>
        </w:rPr>
      </w:pPr>
      <w:r>
        <w:rPr>
          <w:rFonts w:hint="eastAsia" w:ascii="仿宋_GB2312" w:eastAsia="仿宋_GB2312"/>
          <w:color w:val="000000"/>
          <w:sz w:val="24"/>
        </w:rPr>
        <w:t>《企业国有资产评估报告指南》第十条“资产评估报告摘要应当简明扼要地反映经济行为、评估目的、评估对象和评估范围、价值类型、评估基准日、评估方法、评估结论及其使用有效期、对评估结论产生影响的特别事项等关键内容。资产评估报告摘要应当采用下述文字提醒资产评估报告使用人阅读全文：“以上内容摘自资产评估报告正文，欲了解本评估业务的详细情况和正确理解评估结论，应当阅读资产评估报告正文。”</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（1）资产评估报告应当包括下列内容：①标题及文号；②目录；③声明；④摘要；⑤正文；⑥附件；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t>（2）</w:t>
      </w:r>
      <w:r>
        <w:rPr>
          <w:rFonts w:hint="eastAsia" w:ascii="仿宋_GB2312" w:hAnsi="黑体" w:eastAsia="仿宋_GB2312"/>
          <w:sz w:val="24"/>
        </w:rPr>
        <w:t>重点关注评估报告构成的完备性，缺一不可。同时关注标题、声明、摘要内容的规范性、充分性和完整性；</w:t>
      </w:r>
    </w:p>
    <w:p>
      <w:pPr>
        <w:spacing w:line="360" w:lineRule="auto"/>
        <w:ind w:firstLine="555"/>
        <w:rPr>
          <w:rFonts w:hint="eastAsia" w:ascii="仿宋_GB2312" w:hAnsi="Calibri" w:eastAsia="仿宋_GB2312"/>
          <w:sz w:val="24"/>
        </w:rPr>
      </w:pPr>
      <w:r>
        <w:rPr>
          <w:rFonts w:hint="eastAsia" w:ascii="仿宋_GB2312" w:hAnsi="Calibri" w:eastAsia="仿宋_GB2312"/>
          <w:sz w:val="24"/>
        </w:rPr>
        <w:t>（3）</w:t>
      </w:r>
      <w:r>
        <w:rPr>
          <w:rFonts w:hint="eastAsia" w:ascii="仿宋_GB2312" w:hAnsi="黑体" w:eastAsia="仿宋_GB2312"/>
          <w:sz w:val="24"/>
        </w:rPr>
        <w:t>资产评估报告标题应当简明清晰，一般采用“企业名称+经济行为关键词+评估对象+评估报告”的形式；</w:t>
      </w:r>
    </w:p>
    <w:p>
      <w:pPr>
        <w:spacing w:line="360" w:lineRule="auto"/>
        <w:ind w:firstLine="555"/>
        <w:rPr>
          <w:rFonts w:hint="eastAsia" w:ascii="仿宋_GB2312" w:hAnsi="Calibri" w:eastAsia="仿宋_GB2312"/>
          <w:sz w:val="24"/>
        </w:rPr>
      </w:pPr>
      <w:r>
        <w:rPr>
          <w:rFonts w:hint="eastAsia" w:ascii="仿宋_GB2312" w:hAnsi="Calibri" w:eastAsia="仿宋_GB2312"/>
          <w:sz w:val="24"/>
        </w:rPr>
        <w:t>（4）</w:t>
      </w:r>
      <w:r>
        <w:rPr>
          <w:rFonts w:hint="eastAsia" w:ascii="仿宋_GB2312" w:hAnsi="黑体" w:eastAsia="仿宋_GB2312"/>
          <w:sz w:val="24"/>
        </w:rPr>
        <w:t>资产评估专业人员应当声明遵循法律法规，恪守资产评估准则，并对评估结论合理性承担相应的法律责任。评估报告声明应当提醒评估报告使用人关注评估报告特别事项和使用限制等内容；</w:t>
      </w:r>
    </w:p>
    <w:p>
      <w:pPr>
        <w:spacing w:line="360" w:lineRule="auto"/>
        <w:ind w:firstLine="555"/>
        <w:rPr>
          <w:rFonts w:hint="eastAsia" w:ascii="仿宋_GB2312" w:hAnsi="Calibri" w:eastAsia="仿宋_GB2312"/>
          <w:sz w:val="24"/>
        </w:rPr>
      </w:pPr>
      <w:r>
        <w:rPr>
          <w:rFonts w:hint="eastAsia" w:ascii="仿宋_GB2312" w:hAnsi="Calibri" w:eastAsia="仿宋_GB2312"/>
          <w:sz w:val="24"/>
        </w:rPr>
        <w:t>（5）</w:t>
      </w:r>
      <w:r>
        <w:rPr>
          <w:rFonts w:hint="eastAsia" w:ascii="仿宋_GB2312" w:hAnsi="黑体" w:eastAsia="仿宋_GB2312"/>
          <w:sz w:val="24"/>
        </w:rPr>
        <w:t>评估报告摘要应当简明扼要地反映经济行为、评估目的、评估对象和评估范围、价值类型、评估基准日、评估方法、评估结论及其使用有效期、对评估结论产生影响的特别事项等关键内容；评估报告摘要应当采用下述文字提醒评估报告使用人阅读全文：“以上内容摘自评估报告正文，欲了解本评估项目的详细情况和正确理解评估结论，应当阅读评估报告正文。”。</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（1）上述资产评估报告六大项内容完整，且标题、声明和摘要内容披露恰当、充分，打5分；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（2）上述评估报告六大项内容，缺一大项，打0分；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（3）上述评估报告六大项内容完整，声明和摘要内容披露基本恰当、充分，标题缺少</w:t>
      </w:r>
      <w:r>
        <w:rPr>
          <w:rFonts w:hint="eastAsia" w:ascii="仿宋_GB2312" w:hAnsi="黑体" w:eastAsia="仿宋_GB2312"/>
          <w:sz w:val="24"/>
        </w:rPr>
        <w:t>经济行为和评估对象，</w:t>
      </w:r>
      <w:r>
        <w:rPr>
          <w:rFonts w:hint="eastAsia" w:ascii="仿宋_GB2312" w:hAnsi="Calibri" w:eastAsia="仿宋_GB2312"/>
          <w:sz w:val="24"/>
        </w:rPr>
        <w:t>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（4）上述评估报告六大项内容完整，标题、声明和摘要内容披露基本恰当、充分，</w:t>
      </w:r>
      <w:r>
        <w:rPr>
          <w:rFonts w:hint="eastAsia" w:ascii="仿宋_GB2312" w:hAnsi="黑体" w:eastAsia="仿宋_GB2312"/>
          <w:sz w:val="24"/>
        </w:rPr>
        <w:t>摘要缺少提醒评估报告使用人阅读全文的文字提示，</w:t>
      </w:r>
      <w:r>
        <w:rPr>
          <w:rFonts w:hint="eastAsia" w:ascii="仿宋_GB2312" w:hAnsi="Calibri" w:eastAsia="仿宋_GB2312"/>
          <w:sz w:val="24"/>
        </w:rPr>
        <w:t>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（5）上述评估报告六大项内容完整，但标题、声明和摘要内容披露规范性差的，摘要披露的资产评估报告主要内容信息与正文存在不一致情况，打1-2分。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（十）资产评估报告正文</w:t>
      </w:r>
    </w:p>
    <w:p>
      <w:pPr>
        <w:spacing w:line="360" w:lineRule="auto"/>
        <w:ind w:firstLine="566" w:firstLineChars="236"/>
        <w:rPr>
          <w:rFonts w:hint="eastAsia" w:ascii="仿宋_GB2312" w:hAnsi="黑体" w:eastAsia="仿宋_GB2312"/>
          <w:b/>
          <w:sz w:val="24"/>
        </w:rPr>
      </w:pPr>
      <w:r>
        <w:rPr>
          <w:rFonts w:hint="eastAsia" w:ascii="仿宋_GB2312" w:hAnsi="黑体" w:eastAsia="仿宋_GB2312"/>
          <w:sz w:val="24"/>
        </w:rPr>
        <w:t>适用准则：《资产评估执业准则——资产评估报告》第十四条“资产评估报告正文应当包括下列内容：（一）委托人及其他资产评估报告使用人；（二）评估目的；（三）评估对象和评估范围；（四）价值类型；（五）评估基准日；（六）评估依据；（七）评估方法；（八）</w:t>
      </w:r>
      <w:r>
        <w:rPr>
          <w:rFonts w:hint="eastAsia" w:ascii="仿宋_GB2312" w:eastAsia="仿宋_GB2312"/>
          <w:sz w:val="24"/>
        </w:rPr>
        <w:t>评估</w:t>
      </w:r>
      <w:r>
        <w:rPr>
          <w:rFonts w:hint="eastAsia" w:ascii="仿宋_GB2312" w:hAnsi="黑体" w:eastAsia="仿宋_GB2312"/>
          <w:sz w:val="24"/>
        </w:rPr>
        <w:t>程序实施过程和情况；（九）评估假设；（十）评估结论；（十一）特别事项说明；（十二）资产评估报告使用限制说明；（十三）资产评估报告日；（十四）资产评估专业人员签名和资产评估机构印章。”</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十一条“资产评估报告正文应当包括：（一）绪言；（二）委托人、被评估单位和资产评估委托合同约定的其他资产评估报告使用人概况；（三）评估目的；（四）评估对象和评估范围；（五）价值类型；（六）评估基准日；（七）评估依据；（八）评估方法；（九）评估程序实施过程和情况；（十）评估假设；（十一）评估结论；（十二）特别事项说明；（十三）资产评估报告使用限制说明；（十四）资产评估报告日；（十五）签名盖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资产评估报告正文应当包括：</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t>（1）委托人及其他资产评估报告使用人</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（2）评估目的</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（3）评估对象和评估范围</w:t>
      </w:r>
    </w:p>
    <w:p>
      <w:pPr>
        <w:spacing w:line="360" w:lineRule="auto"/>
        <w:ind w:firstLine="555"/>
        <w:rPr>
          <w:rFonts w:hint="eastAsia" w:ascii="仿宋_GB2312" w:hAnsi="Calibri" w:eastAsia="仿宋_GB2312"/>
          <w:sz w:val="24"/>
        </w:rPr>
      </w:pPr>
      <w:r>
        <w:rPr>
          <w:rFonts w:hint="eastAsia" w:ascii="仿宋_GB2312" w:hAnsi="Calibri" w:eastAsia="仿宋_GB2312"/>
          <w:sz w:val="24"/>
        </w:rPr>
        <w:t>（4）价值类型及其定义</w:t>
      </w:r>
    </w:p>
    <w:p>
      <w:pPr>
        <w:spacing w:line="360" w:lineRule="auto"/>
        <w:ind w:firstLine="555"/>
        <w:rPr>
          <w:rFonts w:hint="eastAsia" w:ascii="仿宋_GB2312" w:hAnsi="Calibri" w:eastAsia="仿宋_GB2312"/>
          <w:sz w:val="24"/>
        </w:rPr>
      </w:pPr>
      <w:r>
        <w:rPr>
          <w:rFonts w:hint="eastAsia" w:ascii="仿宋_GB2312" w:hAnsi="Calibri" w:eastAsia="仿宋_GB2312"/>
          <w:sz w:val="24"/>
        </w:rPr>
        <w:t>（5）评估基准日</w:t>
      </w:r>
    </w:p>
    <w:p>
      <w:pPr>
        <w:spacing w:line="360" w:lineRule="auto"/>
        <w:ind w:firstLine="555"/>
        <w:rPr>
          <w:rFonts w:hint="eastAsia" w:ascii="仿宋_GB2312" w:hAnsi="Calibri" w:eastAsia="仿宋_GB2312"/>
          <w:sz w:val="24"/>
        </w:rPr>
      </w:pPr>
      <w:r>
        <w:rPr>
          <w:rFonts w:hint="eastAsia" w:ascii="仿宋_GB2312" w:hAnsi="Calibri" w:eastAsia="仿宋_GB2312"/>
          <w:sz w:val="24"/>
        </w:rPr>
        <w:t>（6）评估依据</w:t>
      </w:r>
    </w:p>
    <w:p>
      <w:pPr>
        <w:spacing w:line="360" w:lineRule="auto"/>
        <w:ind w:firstLine="555"/>
        <w:rPr>
          <w:rFonts w:hint="eastAsia" w:ascii="仿宋_GB2312" w:hAnsi="Calibri" w:eastAsia="仿宋_GB2312"/>
          <w:sz w:val="24"/>
        </w:rPr>
      </w:pPr>
      <w:r>
        <w:rPr>
          <w:rFonts w:hint="eastAsia" w:ascii="仿宋_GB2312" w:hAnsi="Calibri" w:eastAsia="仿宋_GB2312"/>
          <w:sz w:val="24"/>
        </w:rPr>
        <w:t>（7）评估方法</w:t>
      </w:r>
    </w:p>
    <w:p>
      <w:pPr>
        <w:spacing w:line="360" w:lineRule="auto"/>
        <w:ind w:firstLine="555"/>
        <w:rPr>
          <w:rFonts w:hint="eastAsia" w:ascii="仿宋_GB2312" w:hAnsi="Calibri" w:eastAsia="仿宋_GB2312"/>
          <w:sz w:val="24"/>
        </w:rPr>
      </w:pPr>
      <w:r>
        <w:rPr>
          <w:rFonts w:hint="eastAsia" w:ascii="仿宋_GB2312" w:hAnsi="Calibri" w:eastAsia="仿宋_GB2312"/>
          <w:sz w:val="24"/>
        </w:rPr>
        <w:t>（8）评估程序实施过程和情况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t>（9）评估假设</w:t>
      </w:r>
    </w:p>
    <w:p>
      <w:pPr>
        <w:spacing w:line="360" w:lineRule="auto"/>
        <w:ind w:firstLine="555"/>
        <w:rPr>
          <w:rFonts w:hint="eastAsia" w:ascii="仿宋_GB2312" w:hAnsi="Calibri" w:eastAsia="仿宋_GB2312"/>
          <w:sz w:val="24"/>
        </w:rPr>
      </w:pPr>
      <w:r>
        <w:rPr>
          <w:rFonts w:hint="eastAsia" w:ascii="仿宋_GB2312" w:hAnsi="Calibri" w:eastAsia="仿宋_GB2312"/>
          <w:sz w:val="24"/>
        </w:rPr>
        <w:t>（10）评估结论</w:t>
      </w:r>
    </w:p>
    <w:p>
      <w:pPr>
        <w:spacing w:line="360" w:lineRule="auto"/>
        <w:ind w:firstLine="555"/>
        <w:rPr>
          <w:rFonts w:hint="eastAsia" w:ascii="仿宋_GB2312" w:hAnsi="Calibri" w:eastAsia="仿宋_GB2312"/>
          <w:sz w:val="24"/>
        </w:rPr>
      </w:pPr>
      <w:r>
        <w:rPr>
          <w:rFonts w:hint="eastAsia" w:ascii="仿宋_GB2312" w:hAnsi="Calibri" w:eastAsia="仿宋_GB2312"/>
          <w:sz w:val="24"/>
        </w:rPr>
        <w:t>（11）特别事项说明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（12）资产评估报告使用限制说明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（13）资产评估报告日</w:t>
      </w:r>
    </w:p>
    <w:p>
      <w:pPr>
        <w:spacing w:line="360" w:lineRule="auto"/>
        <w:ind w:firstLine="555"/>
        <w:rPr>
          <w:rFonts w:hint="eastAsia" w:ascii="仿宋_GB2312" w:eastAsia="仿宋_GB2312"/>
          <w:sz w:val="24"/>
        </w:rPr>
      </w:pPr>
      <w:r>
        <w:rPr>
          <w:rFonts w:hint="eastAsia" w:ascii="仿宋_GB2312" w:hAnsi="Calibri" w:eastAsia="仿宋_GB2312"/>
          <w:sz w:val="24"/>
        </w:rPr>
        <w:t>（14）资产评估专业人员签名和资产评估机构印章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（1）上述资产评估报告内容完整，14项标题表述准确，打5分；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（2）资产评估报告正文14项内容，缺失一项，打0分。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（十一）委托人及其他资产评估报告使用人</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适用准则：《资产评估执业准则——资产评估报告》第十五条“资产评估报告使用人包括委托人、资产评估委托合同中</w:t>
      </w:r>
      <w:r>
        <w:rPr>
          <w:rFonts w:hint="eastAsia" w:ascii="仿宋_GB2312" w:eastAsia="仿宋_GB2312"/>
          <w:sz w:val="24"/>
        </w:rPr>
        <w:t>约定</w:t>
      </w:r>
      <w:r>
        <w:rPr>
          <w:rFonts w:hint="eastAsia" w:ascii="仿宋_GB2312" w:hAnsi="黑体" w:eastAsia="仿宋_GB2312"/>
          <w:sz w:val="24"/>
        </w:rPr>
        <w:t>的其他资产评估报告使用人和法律、行政法规规定的资产评估报告使用人。”</w:t>
      </w:r>
    </w:p>
    <w:p>
      <w:pPr>
        <w:spacing w:line="360" w:lineRule="auto"/>
        <w:ind w:firstLine="568" w:firstLineChars="237"/>
        <w:rPr>
          <w:rFonts w:hint="eastAsia" w:ascii="仿宋_GB2312" w:hAnsi="黑体" w:eastAsia="仿宋_GB2312"/>
          <w:b/>
          <w:sz w:val="24"/>
        </w:rPr>
      </w:pPr>
      <w:r>
        <w:rPr>
          <w:rFonts w:hint="eastAsia" w:ascii="仿宋_GB2312" w:hAnsi="黑体" w:eastAsia="仿宋_GB2312"/>
          <w:sz w:val="24"/>
        </w:rPr>
        <w:t>《企业国有资产评估报告指南》第十三条“资产评估报告正文应当介绍委托人、被评估单位和资产评估委托合同约定的其他资产评估报告使用人的概况：（一）委托人和资产评估委托合同约定的其他资产评估报告使用人概况一般包括名称、法定住所及经营场所、法定代表人、注册资本及主要经营范围等；……（三）单项资产或者资产组合评估，被评估单位概况一般包括名称、法定住所及经营场所、法定代表人、注册资本及主要经营范围等；（四）委托人与被评估单位为同一企业，按对被评估单位的要求编写；（五）存在交叉持股的，应当列示交叉持股图并简述交叉持股关系及是否属于同一控制的情形；（六）存在关联交易的，应当说明关联方、交易方式等基本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（1）资产评估报告使用人包括委托人、资产评估委托合同中约定的其他资产评估报告使用人和法律、行政法规规定的资产评估报告使用人；</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（2）资产评估报告应当明确阐述和介绍委托人、其他资产评估报告使用人；</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（3）资产评估报告使用人为企业的，介绍一般包括名称、法定住所及经营场所、法定代表人、注册资本及主要经营范围等。</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（1）上述三条均做到，打5分；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（2）前面两条基本做到，但资产评估报告使用人介绍内容不够完整，视严重程度，打3-4分；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（3）阐述和介绍的资产评估报告使用人缺少任一方，打2分；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（十二）评估目的</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w:t>
      </w:r>
      <w:r>
        <w:rPr>
          <w:rFonts w:hint="eastAsia" w:ascii="仿宋_GB2312" w:eastAsia="仿宋_GB2312"/>
          <w:sz w:val="24"/>
        </w:rPr>
        <w:t>《资产评估执业准则——资产评估报告》</w:t>
      </w:r>
      <w:r>
        <w:rPr>
          <w:rFonts w:hint="eastAsia" w:ascii="仿宋_GB2312" w:hAnsi="黑体" w:eastAsia="仿宋_GB2312"/>
          <w:sz w:val="24"/>
        </w:rPr>
        <w:t>第十六条“资产评估报告载明的评估目的应当唯一。”</w:t>
      </w:r>
    </w:p>
    <w:p>
      <w:pPr>
        <w:spacing w:line="360" w:lineRule="auto"/>
        <w:ind w:firstLine="424" w:firstLineChars="177"/>
        <w:rPr>
          <w:rFonts w:hint="eastAsia" w:ascii="仿宋_GB2312" w:hAnsi="黑体" w:eastAsia="仿宋_GB2312"/>
          <w:sz w:val="24"/>
        </w:rPr>
      </w:pPr>
      <w:r>
        <w:rPr>
          <w:rFonts w:hint="eastAsia" w:ascii="仿宋_GB2312" w:hAnsi="黑体" w:eastAsia="仿宋_GB2312"/>
          <w:sz w:val="24"/>
        </w:rPr>
        <w:t>《企业国有资产评估报告指南》第十三条“资产评估报告应当说明本次资产评估的目的及其所对应的经济行为，并说明该经济行为获得批准的相关情况或者其他经济行为依据。”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黑体" w:eastAsia="仿宋_GB2312"/>
          <w:sz w:val="24"/>
        </w:rPr>
        <w:t>根据《资产评估执业准则——资产评估报告》等相关规定，</w:t>
      </w:r>
      <w:r>
        <w:rPr>
          <w:rFonts w:hint="eastAsia" w:ascii="仿宋_GB2312" w:eastAsia="仿宋_GB2312"/>
          <w:sz w:val="24"/>
        </w:rPr>
        <w:t>评估报告应当说明本次资产评估的目的及其所对应的经济行为，经济行为需要批准的需说明该经济行为的审批情况。应当关注评估报告与资产评估委托合同中的评估目的是否一致。</w:t>
      </w:r>
      <w:r>
        <w:rPr>
          <w:rFonts w:hint="eastAsia" w:ascii="仿宋_GB2312" w:hAnsi="黑体" w:eastAsia="仿宋_GB2312"/>
          <w:sz w:val="24"/>
        </w:rPr>
        <w:t>检查中，重点关注是否符合上述要求。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（1）上述三条均做到，打5分；</w:t>
      </w:r>
    </w:p>
    <w:p>
      <w:pPr>
        <w:spacing w:line="360" w:lineRule="auto"/>
        <w:ind w:firstLine="555"/>
        <w:rPr>
          <w:rFonts w:hint="eastAsia" w:ascii="仿宋_GB2312" w:hAnsi="Calibri" w:eastAsia="仿宋_GB2312"/>
          <w:color w:val="000000"/>
          <w:sz w:val="24"/>
        </w:rPr>
      </w:pPr>
      <w:r>
        <w:rPr>
          <w:rFonts w:hint="eastAsia" w:ascii="仿宋_GB2312" w:hAnsi="Calibri" w:eastAsia="仿宋_GB2312"/>
          <w:sz w:val="24"/>
        </w:rPr>
        <w:t>（2）</w:t>
      </w:r>
      <w:r>
        <w:rPr>
          <w:rFonts w:hint="eastAsia" w:ascii="仿宋_GB2312" w:hAnsi="黑体" w:eastAsia="仿宋_GB2312"/>
          <w:sz w:val="24"/>
        </w:rPr>
        <w:t>未说明对应的经济行为，打4分；</w:t>
      </w:r>
      <w:r>
        <w:rPr>
          <w:rFonts w:hint="eastAsia" w:ascii="仿宋_GB2312" w:hAnsi="Calibri" w:eastAsia="仿宋_GB2312"/>
          <w:color w:val="000000"/>
          <w:sz w:val="24"/>
        </w:rPr>
        <w:t xml:space="preserve"> </w:t>
      </w:r>
    </w:p>
    <w:p>
      <w:pPr>
        <w:spacing w:line="360" w:lineRule="auto"/>
        <w:ind w:firstLine="555"/>
        <w:rPr>
          <w:rFonts w:hint="eastAsia" w:ascii="仿宋_GB2312" w:hAnsi="Calibri" w:eastAsia="仿宋_GB2312"/>
          <w:color w:val="000000"/>
          <w:sz w:val="24"/>
        </w:rPr>
      </w:pPr>
      <w:r>
        <w:rPr>
          <w:rFonts w:hint="eastAsia" w:ascii="仿宋_GB2312" w:hAnsi="Calibri" w:eastAsia="仿宋_GB2312"/>
          <w:color w:val="000000"/>
          <w:sz w:val="24"/>
        </w:rPr>
        <w:t>（3）</w:t>
      </w:r>
      <w:r>
        <w:rPr>
          <w:rFonts w:hint="eastAsia" w:ascii="仿宋_GB2312" w:hAnsi="黑体" w:eastAsia="仿宋_GB2312"/>
          <w:sz w:val="24"/>
        </w:rPr>
        <w:t>经济行为需要批准的未说明审批情况，打3分；</w:t>
      </w:r>
    </w:p>
    <w:p>
      <w:pPr>
        <w:spacing w:line="360" w:lineRule="auto"/>
        <w:ind w:firstLine="555"/>
        <w:rPr>
          <w:rFonts w:hint="eastAsia" w:ascii="仿宋_GB2312" w:hAnsi="Calibri" w:eastAsia="仿宋_GB2312"/>
          <w:color w:val="000000"/>
          <w:sz w:val="24"/>
        </w:rPr>
      </w:pPr>
      <w:r>
        <w:rPr>
          <w:rFonts w:hint="eastAsia" w:ascii="仿宋_GB2312" w:hAnsi="Calibri" w:eastAsia="仿宋_GB2312"/>
          <w:sz w:val="24"/>
        </w:rPr>
        <w:t>（4）</w:t>
      </w:r>
      <w:r>
        <w:rPr>
          <w:rFonts w:hint="eastAsia" w:ascii="仿宋_GB2312" w:hAnsi="Calibri" w:eastAsia="仿宋_GB2312"/>
          <w:color w:val="000000"/>
          <w:sz w:val="24"/>
        </w:rPr>
        <w:t>评估目的表述不够明确、清晰，打1-2分；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（5）无此项内容，出现两个评估目的</w:t>
      </w:r>
      <w:r>
        <w:rPr>
          <w:rFonts w:hint="eastAsia" w:ascii="仿宋_GB2312" w:hAnsi="Calibri" w:eastAsia="仿宋_GB2312"/>
          <w:color w:val="000000"/>
          <w:sz w:val="24"/>
        </w:rPr>
        <w:t>或者与资产评估委托合同约定的评估目的不一致的，</w:t>
      </w:r>
      <w:r>
        <w:rPr>
          <w:rFonts w:hint="eastAsia" w:ascii="仿宋_GB2312" w:hAnsi="Calibri" w:eastAsia="仿宋_GB2312"/>
          <w:sz w:val="24"/>
        </w:rPr>
        <w:t>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（十三）评估对象和评估范围</w:t>
      </w:r>
    </w:p>
    <w:p>
      <w:pPr>
        <w:spacing w:line="360" w:lineRule="auto"/>
        <w:ind w:firstLine="566" w:firstLineChars="236"/>
        <w:rPr>
          <w:rFonts w:hint="eastAsia" w:ascii="仿宋_GB2312" w:hAnsi="黑体" w:eastAsia="仿宋_GB2312"/>
          <w:b/>
          <w:sz w:val="24"/>
        </w:rPr>
      </w:pPr>
      <w:r>
        <w:rPr>
          <w:rFonts w:hint="eastAsia" w:ascii="仿宋_GB2312" w:hAnsi="黑体" w:eastAsia="仿宋_GB2312"/>
          <w:sz w:val="24"/>
        </w:rPr>
        <w:t>适用准则：</w:t>
      </w:r>
      <w:r>
        <w:rPr>
          <w:rFonts w:hint="eastAsia" w:ascii="仿宋_GB2312" w:eastAsia="仿宋_GB2312"/>
          <w:sz w:val="24"/>
        </w:rPr>
        <w:t>《资产评估执业准则——资产评估报告》</w:t>
      </w:r>
      <w:r>
        <w:rPr>
          <w:rFonts w:hint="eastAsia" w:ascii="仿宋_GB2312" w:hAnsi="黑体" w:eastAsia="仿宋_GB2312"/>
          <w:sz w:val="24"/>
        </w:rPr>
        <w:t>第十七条“资产评估报告中应当载明评估对象和评估范围，并描述评估对象的基本情况。”</w:t>
      </w:r>
    </w:p>
    <w:p>
      <w:pPr>
        <w:spacing w:line="360" w:lineRule="auto"/>
        <w:ind w:firstLine="480" w:firstLineChars="200"/>
        <w:jc w:val="left"/>
        <w:rPr>
          <w:rFonts w:hint="eastAsia" w:ascii="仿宋_GB2312" w:eastAsia="仿宋_GB2312"/>
          <w:sz w:val="24"/>
        </w:rPr>
      </w:pPr>
      <w:r>
        <w:rPr>
          <w:rFonts w:hint="eastAsia" w:ascii="仿宋_GB2312" w:eastAsia="仿宋_GB2312"/>
          <w:sz w:val="24"/>
        </w:rPr>
        <w:t>《企业国有资产评估报告指南》第十五条“资产评估报告应当对评估对象进行具体描述，以文字、表格的方式说明评估范围。……单项资产或者资产组合评估，应当说明委托评估资产的数量（如土地面积、建筑物面积、设备数量、无形资产数量等）、法律权属状况、经济状况和物理状况等。”</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（1）评估对象和评估范围表述清晰；</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（2）资产评估报告中的评估对象和评估范围应与资产评估委托合同约定的评估对象和评估范围一致；</w:t>
      </w:r>
    </w:p>
    <w:p>
      <w:pPr>
        <w:spacing w:line="360" w:lineRule="auto"/>
        <w:ind w:firstLine="555"/>
        <w:rPr>
          <w:rFonts w:hint="eastAsia" w:ascii="仿宋_GB2312" w:hAnsi="Calibri" w:eastAsia="仿宋_GB2312"/>
          <w:sz w:val="24"/>
        </w:rPr>
      </w:pPr>
      <w:r>
        <w:rPr>
          <w:rFonts w:hint="eastAsia" w:ascii="仿宋_GB2312" w:hAnsi="Calibri" w:eastAsia="仿宋_GB2312"/>
          <w:sz w:val="24"/>
        </w:rPr>
        <w:t>（3）应当具体描述评估对象的基本情况，通常包括法律权属状况、经济状况和物理状况。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t>机器设备的描述应当包括：数量、类型、安装、存放地点、使用情况等。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不动产的描述应当包括：数量、类型、产权、结构和使用状况，以及是否存在抵押或其他受限情况。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（1）上述三条均做到，打5分；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（2）上述三条基本做到，但评估对象基本情况的描述不够完整，视严重程度打3-4分；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（3）评估对象和评估范围表述不清晰，或者未描述评估对象基本情况，打2分；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（4）资产评估委托合同已约定评估对象和评估范围，但资产评估报告中的评估对象和评估范围与资产评估委托合同约定的评估对象和评估范围不一致，扣打1分；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（十四）价值类型及其定义</w:t>
      </w:r>
    </w:p>
    <w:p>
      <w:pPr>
        <w:spacing w:line="360" w:lineRule="auto"/>
        <w:ind w:firstLine="480" w:firstLineChars="200"/>
        <w:outlineLvl w:val="0"/>
        <w:rPr>
          <w:rFonts w:hint="eastAsia" w:ascii="仿宋_GB2312" w:hAnsi="黑体" w:eastAsia="仿宋_GB2312"/>
          <w:sz w:val="24"/>
        </w:rPr>
      </w:pPr>
      <w:r>
        <w:rPr>
          <w:rFonts w:hint="eastAsia" w:ascii="仿宋_GB2312" w:hAnsi="黑体" w:eastAsia="仿宋_GB2312"/>
          <w:sz w:val="24"/>
        </w:rPr>
        <w:t xml:space="preserve">适用准则：《资产评估执业准则——资产评估报告》第十八条“资产评估报告应当说明选择价值类型的理由，并明确其定义。” </w:t>
      </w:r>
    </w:p>
    <w:p>
      <w:pPr>
        <w:spacing w:line="360" w:lineRule="auto"/>
        <w:ind w:firstLine="480" w:firstLineChars="200"/>
        <w:outlineLvl w:val="0"/>
        <w:rPr>
          <w:rFonts w:hint="eastAsia" w:ascii="仿宋_GB2312" w:hAnsi="黑体" w:eastAsia="仿宋_GB2312"/>
          <w:sz w:val="24"/>
        </w:rPr>
      </w:pPr>
      <w:r>
        <w:rPr>
          <w:rFonts w:hint="eastAsia" w:ascii="仿宋_GB2312" w:hAnsi="黑体" w:eastAsia="仿宋_GB2312"/>
          <w:sz w:val="24"/>
        </w:rPr>
        <w:t>《资产评估执业准则——企业价值》第十条“执行企业价值评估业务，应当充分考虑评估目的、市场条件、评估对象自身条件等因素，恰当选择价值类型。企业价值评估中常见的价值类型有市场价值和投资价值。”</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黑体" w:eastAsia="仿宋_GB2312"/>
          <w:sz w:val="24"/>
        </w:rPr>
        <w:t>根据《资产评估执业准则——资产评估报告》等相关规定，</w:t>
      </w:r>
      <w:r>
        <w:rPr>
          <w:rFonts w:hint="eastAsia" w:ascii="仿宋_GB2312" w:eastAsia="仿宋_GB2312"/>
          <w:sz w:val="24"/>
        </w:rPr>
        <w:t>评估报告应当说明选择价值类型的理由及其定义。</w:t>
      </w:r>
      <w:r>
        <w:rPr>
          <w:rFonts w:hint="eastAsia" w:ascii="仿宋_GB2312" w:hAnsi="黑体" w:eastAsia="仿宋_GB2312"/>
          <w:sz w:val="24"/>
        </w:rPr>
        <w:t>检查中，重点关注是否符合上述要求。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w:t>
      </w:r>
      <w:r>
        <w:rPr>
          <w:rFonts w:hint="eastAsia" w:ascii="仿宋_GB2312" w:hAnsi="黑体" w:eastAsia="仿宋_GB2312"/>
          <w:sz w:val="24"/>
        </w:rPr>
        <w:t>符合上述要求</w:t>
      </w:r>
      <w:r>
        <w:rPr>
          <w:rFonts w:hint="eastAsia" w:ascii="仿宋_GB2312" w:hAnsi="Calibri" w:eastAsia="仿宋_GB2312"/>
          <w:sz w:val="24"/>
        </w:rPr>
        <w:t>，打5分；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w:t>
      </w:r>
      <w:r>
        <w:rPr>
          <w:rFonts w:hint="eastAsia" w:ascii="仿宋_GB2312" w:hAnsi="黑体" w:eastAsia="仿宋_GB2312"/>
          <w:sz w:val="24"/>
        </w:rPr>
        <w:t>未说明</w:t>
      </w:r>
      <w:r>
        <w:rPr>
          <w:rFonts w:hint="eastAsia" w:ascii="仿宋_GB2312" w:eastAsia="仿宋_GB2312"/>
          <w:sz w:val="24"/>
        </w:rPr>
        <w:t>选择价值类型的理由，扣1分；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w:t>
      </w:r>
      <w:r>
        <w:rPr>
          <w:rFonts w:hint="eastAsia" w:ascii="仿宋_GB2312" w:hAnsi="黑体" w:eastAsia="仿宋_GB2312"/>
          <w:sz w:val="24"/>
        </w:rPr>
        <w:t>未说明选择价值类型的定义，扣1分；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w:t>
      </w:r>
      <w:r>
        <w:rPr>
          <w:rFonts w:hint="eastAsia" w:ascii="仿宋_GB2312" w:hAnsi="黑体" w:eastAsia="仿宋_GB2312"/>
          <w:sz w:val="24"/>
        </w:rPr>
        <w:t>选择的价值类型与评估目的、市场条件、评估方法运用参数选择情况不匹配，打0分；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（十五）评估基准日</w:t>
      </w:r>
    </w:p>
    <w:p>
      <w:pPr>
        <w:spacing w:line="360" w:lineRule="auto"/>
        <w:ind w:firstLine="480" w:firstLineChars="200"/>
        <w:outlineLvl w:val="0"/>
        <w:rPr>
          <w:rFonts w:hint="eastAsia" w:ascii="仿宋_GB2312" w:hAnsi="黑体" w:eastAsia="仿宋_GB2312"/>
          <w:sz w:val="24"/>
        </w:rPr>
      </w:pPr>
      <w:r>
        <w:rPr>
          <w:rFonts w:hint="eastAsia" w:ascii="仿宋_GB2312" w:hAnsi="黑体" w:eastAsia="仿宋_GB2312"/>
          <w:sz w:val="24"/>
        </w:rPr>
        <w:t>适用准则：《资产评估执业准则——资产评估报告》第十九条“资产评估报告载明的评估基准日应当与资产评估委托合同约定的评估基准日保持一致，可以是过去、现在或者未来的时点。”</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十七条“资产评估报告应当说明评估基准日及确定评估基准日所考虑的主要因素，包括下列主要内容：（一）本项目评估基准日是××××年××月××日；（二）确定评估基准日所考虑的主要因素（如经济行为的实现、会计期末、利率和汇率变化等）。”</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黑体" w:eastAsia="仿宋_GB2312"/>
          <w:sz w:val="24"/>
        </w:rPr>
        <w:t>根据《资产评估执业准则——资产评估报告》等相关规定，</w:t>
      </w:r>
      <w:r>
        <w:rPr>
          <w:rFonts w:hint="eastAsia" w:ascii="仿宋_GB2312" w:hAnsi="Calibri" w:eastAsia="仿宋_GB2312"/>
          <w:sz w:val="24"/>
        </w:rPr>
        <w:t>评估报告应当载明评估基准日，并与资产评估委托合同的评估基准日保持一致</w:t>
      </w:r>
      <w:r>
        <w:rPr>
          <w:rFonts w:hint="eastAsia" w:ascii="仿宋_GB2312" w:eastAsia="仿宋_GB2312"/>
          <w:sz w:val="24"/>
        </w:rPr>
        <w:t>。关注评估报告与资产评估委托合同中的评估基准日是否一致。</w:t>
      </w:r>
      <w:r>
        <w:rPr>
          <w:rFonts w:hint="eastAsia" w:ascii="仿宋_GB2312" w:hAnsi="黑体" w:eastAsia="仿宋_GB2312"/>
          <w:sz w:val="24"/>
        </w:rPr>
        <w:t>检查中，可重点关注是否符合上述要求。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（2）评估基准日与资产评估委托合同或其他相关文件约定的评估基准日不一致，或者无此项内容，打0分。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（十六）评估依据</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适用准则：《资产评估执业准则——资产评估报告》第二十条“资产评估报告应当说明资产评估采用的法律法规依据、准则依据、权属依据及取价依据等。”</w:t>
      </w:r>
    </w:p>
    <w:p>
      <w:pPr>
        <w:spacing w:line="360" w:lineRule="auto"/>
        <w:ind w:firstLine="555"/>
        <w:rPr>
          <w:rFonts w:hint="eastAsia" w:ascii="仿宋_GB2312" w:hAnsi="黑体" w:eastAsia="仿宋_GB2312"/>
          <w:b/>
          <w:sz w:val="24"/>
        </w:rPr>
      </w:pPr>
      <w:r>
        <w:rPr>
          <w:rFonts w:hint="eastAsia" w:ascii="仿宋_GB2312" w:hAnsi="黑体" w:eastAsia="仿宋_GB2312"/>
          <w:sz w:val="24"/>
        </w:rPr>
        <w:t>《企业国有资产评估报告指南》第十八条“资产评估报告应当说明本次评估业务所对应的经济行为、法律法规、评估准则、权属、取价等依据。（一）经济行为依据应当为有效批复文件以及可以说明经济行为及其所涉及的评估对象与评估范围的其他文件资料；（二）法律法规依据通常包括与国有资产评估有关的法律法规等；（三）评估准则依据包括本评估业务中依据的相关资产评估准则和相关规范；（四）权属依据通常包括国有资产产权登记证书、基准日股份持有证明、出资证明、国有土地使用证（或者国有土地使用权出让合同）、房屋所有权证、房地产权证（或者不动产权证书）、采矿许可证、勘查许可证、林权证、专利证（发明专利证书、实用新型专利证书、外观设计专利证书）、商标注册证、著作权（版权）相关权属证明、船舶所有权登记证书、船舶国籍证书、机动车行驶证、有关产权转让合同、其他权属证明文件等；（五）取价依据通常包括企业提供的财务会计、经营方面的资料，国家有关部门发布的统计资料、技术标准和政策文件，以及评估机构收集的有关询价资料、参数资料等；（六）其他参考依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（1）评估报告应当说明评估遵循的法律法规依据、准则依据、权属依据及取价依据等；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（2）评估依据的表述应当明确、具体；</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（3）评估依据应当满足相关性、合理性、可靠性和有效性；</w:t>
      </w:r>
    </w:p>
    <w:p>
      <w:pPr>
        <w:spacing w:line="360" w:lineRule="auto"/>
        <w:ind w:firstLine="555"/>
        <w:rPr>
          <w:rFonts w:hint="eastAsia" w:ascii="仿宋_GB2312" w:hAnsi="Calibri" w:eastAsia="仿宋_GB2312"/>
          <w:sz w:val="24"/>
        </w:rPr>
      </w:pPr>
      <w:r>
        <w:rPr>
          <w:rFonts w:hint="eastAsia" w:ascii="仿宋_GB2312" w:hAnsi="Calibri" w:eastAsia="仿宋_GB2312"/>
          <w:sz w:val="24"/>
        </w:rPr>
        <w:t>（4）评估依据不存在引用错误。</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（1）上述四条均做到，打5分；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（2）上述三条基本做到，但有部分评估依据存在表述不明确、具体，视严重程度打3-4分；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t>（3）上述四大项评估依据中有缺项，或者根据评估报告特点有明显遗漏的重要权属依据或取价依据，打3分；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（4）对于选取的依据文件在基准日已失效的，视文件的重要程度打2-3分；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（5）对于选取的依据文件引用错误的，视文件的重要程度打2-3分；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（6）无此项内容，打0分。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（十七）评估方法</w:t>
      </w:r>
    </w:p>
    <w:p>
      <w:pPr>
        <w:spacing w:line="360" w:lineRule="auto"/>
        <w:ind w:firstLine="480" w:firstLineChars="200"/>
        <w:outlineLvl w:val="0"/>
        <w:rPr>
          <w:rFonts w:hint="eastAsia" w:ascii="仿宋_GB2312" w:eastAsia="仿宋_GB2312"/>
          <w:sz w:val="24"/>
        </w:rPr>
      </w:pPr>
      <w:r>
        <w:rPr>
          <w:rFonts w:hint="eastAsia" w:ascii="仿宋_GB2312" w:hAnsi="黑体" w:eastAsia="仿宋_GB2312"/>
          <w:sz w:val="24"/>
        </w:rPr>
        <w:t>适用准则：《资产评估执业准则——资产评估报告》第二十一条“</w:t>
      </w:r>
      <w:r>
        <w:rPr>
          <w:rFonts w:hint="eastAsia" w:ascii="仿宋_GB2312" w:eastAsia="仿宋_GB2312"/>
          <w:sz w:val="24"/>
        </w:rPr>
        <w:t>资产评估报告应当说明所选用的评估方法及其理由，因适用性受限或者操作条件受限等原因而选择一种评估方法的，应当在资产评估报告中披露并说明原因。</w:t>
      </w:r>
      <w:r>
        <w:rPr>
          <w:rFonts w:hint="eastAsia" w:ascii="仿宋_GB2312" w:hAnsi="黑体" w:eastAsia="仿宋_GB2312"/>
          <w:sz w:val="24"/>
        </w:rPr>
        <w:t>”</w:t>
      </w:r>
      <w:r>
        <w:rPr>
          <w:rFonts w:hint="eastAsia" w:ascii="仿宋_GB2312" w:eastAsia="仿宋_GB2312"/>
          <w:sz w:val="24"/>
        </w:rPr>
        <w:t xml:space="preserve"> </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十九条“资产评估报告应当说明所选用的评估方法及其理由。未采用两种以上评估方法进行评估，资产评估报告应当披露其他基本评估方法不适用的原因或者所受的操作限制。采用两种以上方法进行评估的，还应当说明评估结论确定的方法。”</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（1）评估报告应当说明所选用的评估方法；</w:t>
      </w:r>
    </w:p>
    <w:p>
      <w:pPr>
        <w:spacing w:line="360" w:lineRule="auto"/>
        <w:ind w:firstLine="555"/>
        <w:rPr>
          <w:rFonts w:hint="eastAsia" w:ascii="仿宋_GB2312" w:hAnsi="Calibri" w:eastAsia="仿宋_GB2312"/>
          <w:sz w:val="24"/>
        </w:rPr>
      </w:pPr>
      <w:r>
        <w:rPr>
          <w:rFonts w:hint="eastAsia" w:ascii="仿宋_GB2312" w:hAnsi="Calibri" w:eastAsia="仿宋_GB2312"/>
          <w:sz w:val="24"/>
        </w:rPr>
        <w:t>（2）应当针对基本评估方法进行适用性分析，并具体充分地表述选择所选评估方法的理由。</w:t>
      </w:r>
    </w:p>
    <w:p>
      <w:pPr>
        <w:spacing w:line="360" w:lineRule="auto"/>
        <w:ind w:firstLine="555"/>
        <w:rPr>
          <w:rFonts w:hint="eastAsia" w:ascii="仿宋_GB2312" w:hAnsi="Calibri" w:eastAsia="仿宋_GB2312"/>
          <w:sz w:val="24"/>
        </w:rPr>
      </w:pPr>
      <w:r>
        <w:rPr>
          <w:rFonts w:hint="eastAsia" w:ascii="仿宋_GB2312" w:hAnsi="Calibri" w:eastAsia="仿宋_GB2312"/>
          <w:sz w:val="24"/>
        </w:rPr>
        <w:t>对具有独立运营能力或者独立获利能力的机器设备组合进行评估时，成本法一般不应当作为唯一使用的评估方法。</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（1）上述两条均做到，打5分；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（2）但对选择评估方法的理由表述不够准确、清晰，打4分；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（3）选择评估方法的理由明显不够充分，打3分；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（4）未做适用性分析，或者未表述选择评估方法的理由，打2分；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（5）评估方法选择不合理，且根据分析判断对评估结果的影响程度属于较为严重的，打1分；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（6）评估方法选择不合理，且根据分析判断对评估结果的影响程度属于特别严重的，打0分；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（7）无此项内容，打0分。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（十八）评估程序实施过程和情况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1.评估实施的主要程序</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适用准则：《资产评估执业准则——资产评估报告》</w:t>
      </w:r>
      <w:r>
        <w:rPr>
          <w:rFonts w:hint="eastAsia" w:ascii="仿宋_GB2312" w:eastAsia="仿宋_GB2312"/>
          <w:sz w:val="24"/>
        </w:rPr>
        <w:t>第二十二</w:t>
      </w:r>
      <w:r>
        <w:rPr>
          <w:rFonts w:hint="eastAsia" w:ascii="仿宋_GB2312" w:hAnsi="黑体" w:eastAsia="仿宋_GB2312"/>
          <w:sz w:val="24"/>
        </w:rPr>
        <w:t>条“资产评估报告应当说明资产评估程序实施过程中现场调查、收集整理评估资料、评定估算等主要内容。”</w:t>
      </w:r>
    </w:p>
    <w:p>
      <w:pPr>
        <w:spacing w:line="360" w:lineRule="auto"/>
        <w:ind w:firstLine="480" w:firstLineChars="200"/>
        <w:jc w:val="left"/>
        <w:rPr>
          <w:rFonts w:hint="eastAsia" w:ascii="仿宋_GB2312" w:hAnsi="黑体" w:eastAsia="仿宋_GB2312"/>
          <w:sz w:val="24"/>
        </w:rPr>
      </w:pPr>
      <w:r>
        <w:rPr>
          <w:rFonts w:hint="eastAsia" w:ascii="仿宋_GB2312" w:hAnsi="黑体" w:eastAsia="仿宋_GB2312"/>
          <w:sz w:val="24"/>
        </w:rPr>
        <w:t>《资产评估执业准则——机器设备》</w:t>
      </w:r>
      <w:r>
        <w:rPr>
          <w:rFonts w:hint="eastAsia" w:ascii="仿宋_GB2312" w:eastAsia="仿宋_GB2312"/>
          <w:sz w:val="24"/>
        </w:rPr>
        <w:t>第二十四</w:t>
      </w:r>
      <w:r>
        <w:rPr>
          <w:rFonts w:hint="eastAsia" w:ascii="仿宋_GB2312" w:hAnsi="黑体" w:eastAsia="仿宋_GB2312"/>
          <w:sz w:val="24"/>
        </w:rPr>
        <w:t>条“编制机器设备评估报告应当反映机器设备的相关特点：……（三）对机器设备评估程序实施过程的描述，应当反映对设备的现场及市场调查、评定估算过程；……”</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十九条“资产评估报告应当说明自接受资产评估业务委托起至出具资产评估报告的主要评估工作过程，一般包括以下内容：（一）接受项目委托，确定评估目的、评估对象与评估范围、评估基准日，拟定评估计划等过程；（二）指导被评估单位清查资产、准备评估资料，核实资产与验证资料等过程；（三）选择评估方法、收集市场信息和估算等过程；（四）评估结果汇总、评估结论分析、撰写报告和内部审核等过程。”</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评估报告披露的评估程序实施过程至少包括以下内容：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进行现场调查、收集评估资料的过程；</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分析、验证、整理评估资料的过程；</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评估相关参数的选取以及运用评估方法对各类资产价值进行计算、分析、判断过程；</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对初步评估结论进行综合分析，形成最终评估结论的过程。</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上述四条内容均有，且表述清楚具体，打5分；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上述四条内容均有，但其中某项程序表述不够清楚具体，存在一项扣1分；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上述四条内容有缺项，缺一项扣2分，直至0分；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2.评估方法运用实施过程</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适用准则：《资产评估执业准则——资产评估报告》</w:t>
      </w:r>
      <w:r>
        <w:rPr>
          <w:rFonts w:hint="eastAsia" w:ascii="仿宋_GB2312" w:eastAsia="仿宋_GB2312"/>
          <w:sz w:val="24"/>
        </w:rPr>
        <w:t>第二十二</w:t>
      </w:r>
      <w:r>
        <w:rPr>
          <w:rFonts w:hint="eastAsia" w:ascii="仿宋_GB2312" w:hAnsi="黑体" w:eastAsia="仿宋_GB2312"/>
          <w:sz w:val="24"/>
        </w:rPr>
        <w:t>条“资产评估报告应当说明资产评估程序实施过程中……评定估算等主要内容。”</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《资产评估执业准则——机器设备》</w:t>
      </w:r>
      <w:r>
        <w:rPr>
          <w:rFonts w:hint="eastAsia" w:ascii="仿宋_GB2312" w:eastAsia="仿宋_GB2312"/>
          <w:sz w:val="24"/>
        </w:rPr>
        <w:t>第二十四</w:t>
      </w:r>
      <w:r>
        <w:rPr>
          <w:rFonts w:hint="eastAsia" w:ascii="仿宋_GB2312" w:hAnsi="黑体" w:eastAsia="仿宋_GB2312"/>
          <w:sz w:val="24"/>
        </w:rPr>
        <w:t>条“……（三）对机器设备评估程序实施过程的描述，应当反映对设备的……评定估算过程。”</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十九条“资产评估报告应当说明自接受资产评估业务委托起至出具资产评估报告的主要评估工作过程，一般包括以下内容：……选择评估方法、收集市场信息和估算等过程；……。”</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（1）评估方法的运用和逻辑推理计算过程</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a.资产评估专业人员应当根据评估目的、评估假设、资料收集情况，恰当选用一种或一种以上评估方法；</w:t>
      </w:r>
    </w:p>
    <w:p>
      <w:pPr>
        <w:spacing w:line="360" w:lineRule="auto"/>
        <w:ind w:firstLine="555"/>
        <w:rPr>
          <w:rFonts w:hint="eastAsia" w:ascii="仿宋_GB2312" w:hAnsi="Calibri" w:eastAsia="仿宋_GB2312"/>
          <w:sz w:val="24"/>
        </w:rPr>
      </w:pPr>
      <w:r>
        <w:rPr>
          <w:rFonts w:hint="eastAsia" w:ascii="仿宋_GB2312" w:hAnsi="Calibri" w:eastAsia="仿宋_GB2312"/>
          <w:sz w:val="24"/>
        </w:rPr>
        <w:t>b.评估报告应当披露资产评估专业人员采用的各种信息、数据，经演算而推导出评估结果的思路与过程；</w:t>
      </w:r>
    </w:p>
    <w:p>
      <w:pPr>
        <w:spacing w:line="360" w:lineRule="auto"/>
        <w:ind w:firstLine="555"/>
        <w:rPr>
          <w:rFonts w:hint="eastAsia" w:ascii="仿宋_GB2312" w:hAnsi="Calibri" w:eastAsia="仿宋_GB2312"/>
          <w:sz w:val="24"/>
        </w:rPr>
      </w:pPr>
      <w:r>
        <w:rPr>
          <w:rFonts w:hint="eastAsia" w:ascii="仿宋_GB2312" w:hAnsi="Calibri" w:eastAsia="仿宋_GB2312"/>
          <w:sz w:val="24"/>
        </w:rPr>
        <w:t>c.采用的思路与演算过程应当符合公认的评估方法和计算模式，以使评估结果具有合理性。</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a.上述三点均作到，打5分；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b.对思路和演算过程的披露表述不够清晰，打4分；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c.对思路和演算过程的披露不够充分、具体，打3分；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d.选用思路和演算过程部分内容有误，打2分；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e.选用思路和演算过程明显错误或与报告载明的价值类型等要素不匹配，打1分；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f.未披露思路和演算过程，打0分。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（2）资本化率、折现率、价值比率、成新率等重要参数的获取来源和形成过程</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Ⅰ.</w:t>
      </w:r>
      <w:r>
        <w:rPr>
          <w:rFonts w:hint="eastAsia" w:ascii="仿宋_GB2312" w:eastAsia="仿宋_GB2312"/>
          <w:sz w:val="24"/>
        </w:rPr>
        <w:t xml:space="preserve"> </w:t>
      </w:r>
      <w:r>
        <w:rPr>
          <w:rFonts w:hint="eastAsia" w:ascii="仿宋_GB2312" w:hAnsi="Calibri" w:eastAsia="仿宋_GB2312"/>
          <w:b/>
          <w:sz w:val="24"/>
        </w:rPr>
        <w:t>采用成本法的，确定重置成本和成新率（各相关贬值因素）等重要参数的获取来源和形成过程</w:t>
      </w:r>
    </w:p>
    <w:p>
      <w:pPr>
        <w:spacing w:line="360" w:lineRule="auto"/>
        <w:ind w:firstLine="555"/>
        <w:rPr>
          <w:rFonts w:hint="eastAsia" w:ascii="仿宋_GB2312" w:hAnsi="宋体" w:eastAsia="仿宋_GB2312" w:cs="宋体"/>
          <w:b/>
          <w:sz w:val="24"/>
        </w:rPr>
      </w:pPr>
      <w:r>
        <w:rPr>
          <w:rFonts w:hint="eastAsia" w:ascii="仿宋_GB2312" w:hAnsi="宋体" w:cs="宋体"/>
          <w:b/>
          <w:sz w:val="24"/>
        </w:rPr>
        <w:t>ⅰ</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确定重置成本，构成要素、取值依据分析及形成过程阐述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①</w:t>
      </w:r>
      <w:r>
        <w:rPr>
          <w:rFonts w:hint="eastAsia" w:ascii="仿宋_GB2312" w:hAnsi="Calibri" w:eastAsia="仿宋_GB2312"/>
          <w:b/>
          <w:sz w:val="24"/>
        </w:rPr>
        <w:tab/>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a.根据工作底稿中反映的考虑重置成本要素构成情况，加以全面、准确、清晰地表述；</w:t>
      </w:r>
    </w:p>
    <w:p>
      <w:pPr>
        <w:spacing w:line="360" w:lineRule="auto"/>
        <w:ind w:firstLine="555"/>
        <w:rPr>
          <w:rFonts w:hint="eastAsia" w:ascii="仿宋_GB2312" w:hAnsi="Calibri" w:eastAsia="仿宋_GB2312"/>
          <w:sz w:val="24"/>
        </w:rPr>
      </w:pPr>
      <w:r>
        <w:rPr>
          <w:rFonts w:hint="eastAsia" w:ascii="仿宋_GB2312" w:hAnsi="Calibri" w:eastAsia="仿宋_GB2312"/>
          <w:sz w:val="24"/>
        </w:rPr>
        <w:t>b. 根据工作底稿中反映的相关参数的来源和形成过程，加以全面、准确、清晰地表述。</w:t>
      </w:r>
    </w:p>
    <w:p>
      <w:pPr>
        <w:spacing w:line="360" w:lineRule="auto"/>
        <w:ind w:firstLine="555"/>
        <w:rPr>
          <w:rFonts w:hint="eastAsia" w:ascii="仿宋_GB2312" w:hAnsi="宋体" w:eastAsia="仿宋_GB2312" w:cs="宋体"/>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b.对重置成本要素构成情况表述不够全面、准确、清晰，视严重程度打3-4分；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c.相关参数的来源和形成过程表述不够全面、准确、清晰，视严重程度扣打3-4分；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d相对于工作底稿内容，对重置成本要素构成情况表述错误，打2分；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e相对于工作底稿内容，对重要参数的来源和形成过程表述错误，打2分；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f.未对重置成本构成要素、重要参数的来源和形成过程进行披露的，打0分。</w:t>
      </w:r>
    </w:p>
    <w:p>
      <w:pPr>
        <w:spacing w:line="360" w:lineRule="auto"/>
        <w:ind w:firstLine="555"/>
        <w:rPr>
          <w:rFonts w:hint="eastAsia" w:ascii="仿宋_GB2312" w:hAnsi="宋体" w:eastAsia="仿宋_GB2312" w:cs="宋体"/>
          <w:b/>
          <w:sz w:val="24"/>
        </w:rPr>
      </w:pPr>
      <w:r>
        <w:rPr>
          <w:rFonts w:hint="eastAsia" w:ascii="仿宋_GB2312" w:hAnsi="宋体" w:cs="宋体"/>
          <w:b/>
          <w:sz w:val="24"/>
        </w:rPr>
        <w:t>ⅱ</w:t>
      </w:r>
      <w:r>
        <w:rPr>
          <w:rFonts w:hint="eastAsia" w:ascii="仿宋_GB2312" w:hAnsi="宋体" w:eastAsia="仿宋_GB2312" w:cs="宋体"/>
          <w:b/>
          <w:sz w:val="24"/>
        </w:rPr>
        <w:t>.</w:t>
      </w:r>
      <w:r>
        <w:rPr>
          <w:rFonts w:hint="eastAsia" w:ascii="仿宋_GB2312" w:hAnsi="Calibri" w:eastAsia="仿宋_GB2312"/>
          <w:b/>
          <w:sz w:val="24"/>
        </w:rPr>
        <w:t xml:space="preserve"> 确定成新率，各项贬值因素考虑、取值依据分析及形成过程阐述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a.根据工作底稿中反映的考虑各种贬值因素情况，加以全面、准确、清晰地表述；</w:t>
      </w:r>
    </w:p>
    <w:p>
      <w:pPr>
        <w:spacing w:line="360" w:lineRule="auto"/>
        <w:ind w:firstLine="555"/>
        <w:rPr>
          <w:rFonts w:hint="eastAsia" w:ascii="仿宋_GB2312" w:hAnsi="Calibri" w:eastAsia="仿宋_GB2312"/>
          <w:sz w:val="24"/>
        </w:rPr>
      </w:pPr>
      <w:r>
        <w:rPr>
          <w:rFonts w:hint="eastAsia" w:ascii="仿宋_GB2312" w:hAnsi="Calibri" w:eastAsia="仿宋_GB2312"/>
          <w:sz w:val="24"/>
        </w:rPr>
        <w:t>b. 根据工作底稿中反映的相关参数的来源和形成过程，加以全面、准确、清晰地表述。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b.对考虑的贬值因素情况表述不够全面、准确、清晰，视严重程度打3-4分；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c.相关参数的来源和形成过程表述不够全面、准确、清晰，视严重程度打3-4分；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d相对于工作底稿内容，对考虑的贬值因素情况表述错误，打2分；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e相对于工作底稿内容，对重要参数的来源和形成过程表述错误，打2分；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f.未对考虑贬值因素情况、重要参数的来源和形成过程进行披露的，打0分。</w:t>
      </w:r>
    </w:p>
    <w:p>
      <w:pPr>
        <w:spacing w:line="360" w:lineRule="auto"/>
        <w:ind w:firstLine="555"/>
        <w:rPr>
          <w:rFonts w:hint="eastAsia" w:ascii="仿宋_GB2312" w:hAnsi="宋体" w:eastAsia="仿宋_GB2312" w:cs="宋体"/>
          <w:b/>
          <w:sz w:val="24"/>
        </w:rPr>
      </w:pPr>
      <w:r>
        <w:rPr>
          <w:rFonts w:hint="eastAsia" w:ascii="仿宋_GB2312" w:hAnsi="宋体" w:cs="宋体"/>
          <w:b/>
          <w:sz w:val="24"/>
        </w:rPr>
        <w:t>ⅲ</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计算分析过程及计算结果阐述</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a.根据工作底稿中反映的选取的计算公式或估值模型，加以准确、清晰地表述；</w:t>
      </w:r>
    </w:p>
    <w:p>
      <w:pPr>
        <w:spacing w:line="360" w:lineRule="auto"/>
        <w:ind w:firstLine="555"/>
        <w:rPr>
          <w:rFonts w:hint="eastAsia" w:ascii="仿宋_GB2312" w:hAnsi="Calibri" w:eastAsia="仿宋_GB2312"/>
          <w:sz w:val="24"/>
        </w:rPr>
      </w:pPr>
      <w:r>
        <w:rPr>
          <w:rFonts w:hint="eastAsia" w:ascii="仿宋_GB2312" w:hAnsi="Calibri" w:eastAsia="仿宋_GB2312"/>
          <w:sz w:val="24"/>
        </w:rPr>
        <w:t>b. 根据工作底稿中反映的计算过程及评估结果，加以准确地披露。</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b.对计算公式或估值模型表述不够准确、清晰，视严重程度打3-4分；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c.对评估结果表述不准确，打3分；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d.相对于工作底稿内容，计算公式或估值模型表述错误，打2分；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e.未披露计算或估值过程及结果（有必要情形下）的，打0分。</w:t>
      </w:r>
    </w:p>
    <w:p>
      <w:pPr>
        <w:spacing w:line="360" w:lineRule="auto"/>
        <w:ind w:firstLine="472" w:firstLineChars="196"/>
        <w:rPr>
          <w:rFonts w:hint="eastAsia" w:ascii="仿宋_GB2312" w:hAnsi="Calibri" w:eastAsia="仿宋_GB2312"/>
          <w:b/>
          <w:sz w:val="24"/>
        </w:rPr>
      </w:pPr>
      <w:r>
        <w:rPr>
          <w:rFonts w:hint="eastAsia" w:ascii="仿宋_GB2312" w:hAnsi="Calibri" w:eastAsia="仿宋_GB2312"/>
          <w:b/>
          <w:sz w:val="24"/>
        </w:rPr>
        <w:t>Ⅱ.</w:t>
      </w:r>
      <w:r>
        <w:rPr>
          <w:rFonts w:hint="eastAsia" w:ascii="仿宋_GB2312" w:eastAsia="仿宋_GB2312"/>
          <w:sz w:val="24"/>
        </w:rPr>
        <w:t xml:space="preserve"> </w:t>
      </w:r>
      <w:r>
        <w:rPr>
          <w:rFonts w:hint="eastAsia" w:ascii="仿宋_GB2312" w:hAnsi="Calibri" w:eastAsia="仿宋_GB2312"/>
          <w:b/>
          <w:sz w:val="24"/>
        </w:rPr>
        <w:t>采用市场法的，确定价值比率等重要参数的获取来源和形成过程</w:t>
      </w:r>
    </w:p>
    <w:p>
      <w:pPr>
        <w:spacing w:line="360" w:lineRule="auto"/>
        <w:ind w:firstLine="555"/>
        <w:rPr>
          <w:rFonts w:hint="eastAsia" w:ascii="仿宋_GB2312" w:hAnsi="Calibri" w:eastAsia="仿宋_GB2312"/>
          <w:b/>
          <w:sz w:val="24"/>
        </w:rPr>
      </w:pPr>
      <w:r>
        <w:rPr>
          <w:rFonts w:hint="eastAsia" w:ascii="仿宋_GB2312" w:hAnsi="宋体" w:cs="宋体"/>
          <w:b/>
          <w:sz w:val="24"/>
        </w:rPr>
        <w:t>ⅰ</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 xml:space="preserve">选择案例的依据或理由阐述； </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①</w:t>
      </w:r>
      <w:r>
        <w:rPr>
          <w:rFonts w:hint="eastAsia" w:ascii="仿宋_GB2312" w:hAnsi="Calibri" w:eastAsia="仿宋_GB2312"/>
          <w:b/>
          <w:sz w:val="24"/>
        </w:rPr>
        <w:tab/>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根据工作底稿中反映的选取案例的依据情况，加以准确、清晰地表述；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b.表述不够准确、清晰的，视严重程度打3-4分；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 相对于工作底稿内容，表述错误，打2分；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d.未披露相关信息的，打0分。</w:t>
      </w:r>
    </w:p>
    <w:p>
      <w:pPr>
        <w:spacing w:line="360" w:lineRule="auto"/>
        <w:ind w:firstLine="555"/>
        <w:rPr>
          <w:rFonts w:hint="eastAsia" w:ascii="仿宋_GB2312" w:hAnsi="Calibri" w:eastAsia="仿宋_GB2312"/>
          <w:b/>
          <w:sz w:val="24"/>
        </w:rPr>
      </w:pPr>
      <w:r>
        <w:rPr>
          <w:rFonts w:hint="eastAsia" w:ascii="仿宋_GB2312" w:hAnsi="宋体" w:cs="宋体"/>
          <w:b/>
          <w:sz w:val="24"/>
        </w:rPr>
        <w:t>ⅱ</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案例信息披露</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根据工作底稿中反映的案例信息情况，加以准确、清晰、恰当地表述；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b.表述不够准确、清晰或恰当的，视严重程度打3-4分；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 相对于工作底稿内容，表述错误，打2分；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d.未披露相关信息的，打0分。</w:t>
      </w:r>
    </w:p>
    <w:p>
      <w:pPr>
        <w:spacing w:line="360" w:lineRule="auto"/>
        <w:ind w:firstLine="555"/>
        <w:rPr>
          <w:rFonts w:hint="eastAsia" w:ascii="仿宋_GB2312" w:hAnsi="Calibri" w:eastAsia="仿宋_GB2312"/>
          <w:b/>
          <w:sz w:val="24"/>
        </w:rPr>
      </w:pPr>
      <w:r>
        <w:rPr>
          <w:rFonts w:hint="eastAsia" w:ascii="仿宋_GB2312" w:hAnsi="宋体" w:cs="宋体"/>
          <w:b/>
          <w:sz w:val="24"/>
        </w:rPr>
        <w:t>ⅲ</w:t>
      </w:r>
      <w:r>
        <w:rPr>
          <w:rFonts w:hint="eastAsia" w:ascii="仿宋_GB2312" w:hAnsi="Calibri" w:eastAsia="仿宋_GB2312"/>
          <w:sz w:val="24"/>
        </w:rPr>
        <w:t>.</w:t>
      </w:r>
      <w:r>
        <w:rPr>
          <w:rFonts w:hint="eastAsia" w:ascii="仿宋_GB2312" w:eastAsia="仿宋_GB2312"/>
          <w:sz w:val="24"/>
        </w:rPr>
        <w:t xml:space="preserve"> </w:t>
      </w:r>
      <w:r>
        <w:rPr>
          <w:rFonts w:hint="eastAsia" w:ascii="仿宋_GB2312" w:hAnsi="Calibri" w:eastAsia="仿宋_GB2312"/>
          <w:b/>
          <w:sz w:val="24"/>
        </w:rPr>
        <w:t>各项修正因素考虑、逻辑关系分析，取值依据分析、因素比较修正情况阐述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根据工作底稿中反映的各项修正因素考虑、逻辑关系情况以及取值依据情况，加以准确、清晰、恰当地表述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b.对各项修正因素考虑、逻辑关</w:t>
      </w:r>
      <w:r>
        <w:rPr>
          <w:rFonts w:hint="eastAsia" w:ascii="仿宋_GB2312" w:hAnsi="Calibri" w:eastAsia="仿宋_GB2312"/>
          <w:b/>
          <w:sz w:val="24"/>
        </w:rPr>
        <w:t>系</w:t>
      </w:r>
      <w:r>
        <w:rPr>
          <w:rFonts w:hint="eastAsia" w:ascii="仿宋_GB2312" w:hAnsi="Calibri" w:eastAsia="仿宋_GB2312"/>
          <w:sz w:val="24"/>
        </w:rPr>
        <w:t>情况表述不够准确、清晰或恰当的，视严重程度打3-4分；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c.相关参数的来源表述不够准确、清晰或恰当的，视严重程度打3-4分；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d相对于工作底稿内容，对各项修正因素考虑、逻辑关系情况以及取值依据情况表述错误，打2分；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e.未披露相关信息的，打0分。</w:t>
      </w:r>
    </w:p>
    <w:p>
      <w:pPr>
        <w:spacing w:line="360" w:lineRule="auto"/>
        <w:ind w:firstLine="555"/>
        <w:rPr>
          <w:rFonts w:hint="eastAsia" w:ascii="仿宋_GB2312" w:hAnsi="Calibri" w:eastAsia="仿宋_GB2312"/>
          <w:sz w:val="24"/>
        </w:rPr>
      </w:pPr>
      <w:r>
        <w:rPr>
          <w:rFonts w:hint="eastAsia" w:ascii="仿宋_GB2312" w:hAnsi="宋体" w:cs="宋体"/>
          <w:b/>
          <w:sz w:val="24"/>
        </w:rPr>
        <w:t>ⅳ</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评估计算过程和结果阐述</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a.根据工作底稿中反映的选取的计算公式或估值模型，加以准确、清晰地表述；</w:t>
      </w:r>
    </w:p>
    <w:p>
      <w:pPr>
        <w:spacing w:line="360" w:lineRule="auto"/>
        <w:ind w:firstLine="555"/>
        <w:rPr>
          <w:rFonts w:hint="eastAsia" w:ascii="仿宋_GB2312" w:hAnsi="Calibri" w:eastAsia="仿宋_GB2312"/>
          <w:sz w:val="24"/>
        </w:rPr>
      </w:pPr>
      <w:r>
        <w:rPr>
          <w:rFonts w:hint="eastAsia" w:ascii="仿宋_GB2312" w:hAnsi="Calibri" w:eastAsia="仿宋_GB2312"/>
          <w:sz w:val="24"/>
        </w:rPr>
        <w:t>b. 根据工作底稿中反映的计算过程及评估结果，加以准确地披露。</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b.对计算公式或估值模型表述不够准确、清晰，视严重程度打3-4分；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 对评估结果表述不准确，打3分；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d.相对于工作底稿内容，计算公式或估值模型表述错误，打2分；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 未披露计算或估值过程及结果（有必要情形下）的，打0分。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Ⅲ.</w:t>
      </w:r>
      <w:r>
        <w:rPr>
          <w:rFonts w:hint="eastAsia" w:ascii="仿宋_GB2312" w:eastAsia="仿宋_GB2312"/>
          <w:sz w:val="24"/>
        </w:rPr>
        <w:t xml:space="preserve"> </w:t>
      </w:r>
      <w:r>
        <w:rPr>
          <w:rFonts w:hint="eastAsia" w:ascii="仿宋_GB2312" w:hAnsi="Calibri" w:eastAsia="仿宋_GB2312"/>
          <w:b/>
          <w:sz w:val="24"/>
        </w:rPr>
        <w:t>采用收益法的，确定收益期限、预期收益和折现率等重要参数的获取来源和形成过程</w:t>
      </w:r>
    </w:p>
    <w:p>
      <w:pPr>
        <w:spacing w:line="360" w:lineRule="auto"/>
        <w:ind w:firstLine="555"/>
        <w:rPr>
          <w:rFonts w:hint="eastAsia" w:ascii="仿宋_GB2312" w:hAnsi="Calibri" w:eastAsia="仿宋_GB2312"/>
          <w:b/>
          <w:sz w:val="24"/>
        </w:rPr>
      </w:pPr>
      <w:r>
        <w:rPr>
          <w:rFonts w:hint="eastAsia" w:ascii="仿宋_GB2312" w:hAnsi="宋体" w:cs="宋体"/>
          <w:b/>
          <w:sz w:val="24"/>
        </w:rPr>
        <w:t>ⅰ</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确定收益期考虑因素、依据分析及形成过程阐述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根据工作底稿中反映的确定收益期考虑因素、依据分析及形成情况，加以准确、清晰、恰当地表述；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b.对考虑因素、依据分析、形成过程表述不够准确、清晰或恰当的，视严重程度打3-4分；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c.相对于工作底稿内容，考虑因素或依据分析或形成过程表述错误，打2分；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d.未披露相关信息的，打0分。</w:t>
      </w:r>
    </w:p>
    <w:p>
      <w:pPr>
        <w:spacing w:line="360" w:lineRule="auto"/>
        <w:ind w:firstLine="555"/>
        <w:rPr>
          <w:rFonts w:hint="eastAsia" w:ascii="仿宋_GB2312" w:hAnsi="Calibri" w:eastAsia="仿宋_GB2312"/>
          <w:b/>
          <w:sz w:val="24"/>
        </w:rPr>
      </w:pPr>
      <w:r>
        <w:rPr>
          <w:rFonts w:hint="eastAsia" w:ascii="仿宋_GB2312" w:hAnsi="宋体" w:cs="宋体"/>
          <w:b/>
          <w:sz w:val="24"/>
        </w:rPr>
        <w:t>ⅱ</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预期收益考虑因素考虑、取值依据分析及形成过程阐述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根据工作底稿中反映的确定预期收益考虑因素、依据分析及形成情况，加以准确、清晰、恰当地表述；</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b.对考虑因素、依据分析、形成过程表述不够准确、清晰或恰当的，视严重程度打3-4分；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c.相对于工作底稿内容，考虑因素或依据分析或形成过程表述错误，打2分；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d.未披露相关信息的，打0分。</w:t>
      </w:r>
    </w:p>
    <w:p>
      <w:pPr>
        <w:spacing w:line="360" w:lineRule="auto"/>
        <w:ind w:firstLine="555"/>
        <w:rPr>
          <w:rFonts w:hint="eastAsia" w:ascii="仿宋_GB2312" w:hAnsi="Calibri" w:eastAsia="仿宋_GB2312"/>
          <w:b/>
          <w:sz w:val="24"/>
        </w:rPr>
      </w:pPr>
      <w:r>
        <w:rPr>
          <w:rFonts w:hint="eastAsia" w:ascii="仿宋_GB2312" w:hAnsi="宋体" w:cs="宋体"/>
          <w:b/>
          <w:sz w:val="24"/>
        </w:rPr>
        <w:t>ⅲ</w:t>
      </w:r>
      <w:r>
        <w:rPr>
          <w:rFonts w:hint="eastAsia" w:ascii="仿宋_GB2312" w:hAnsi="宋体" w:eastAsia="仿宋_GB2312" w:cs="宋体"/>
          <w:b/>
          <w:sz w:val="24"/>
        </w:rPr>
        <w:t>.</w:t>
      </w:r>
      <w:r>
        <w:rPr>
          <w:rFonts w:hint="eastAsia" w:ascii="仿宋_GB2312" w:eastAsia="仿宋_GB2312"/>
          <w:sz w:val="24"/>
        </w:rPr>
        <w:t xml:space="preserve"> </w:t>
      </w:r>
      <w:r>
        <w:rPr>
          <w:rFonts w:hint="eastAsia" w:ascii="仿宋_GB2312" w:hAnsi="Calibri" w:eastAsia="仿宋_GB2312"/>
          <w:b/>
          <w:sz w:val="24"/>
        </w:rPr>
        <w:t>确定折现率考虑因素、取值依据分析及形成过程阐述；折现率口径与收益口径一致性。</w:t>
      </w:r>
    </w:p>
    <w:p>
      <w:pPr>
        <w:spacing w:line="360" w:lineRule="auto"/>
        <w:ind w:left="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p>
    <w:p>
      <w:pPr>
        <w:spacing w:line="360" w:lineRule="auto"/>
        <w:ind w:firstLine="480" w:firstLineChars="200"/>
        <w:rPr>
          <w:rFonts w:hint="eastAsia" w:ascii="仿宋_GB2312" w:hAnsi="Calibri" w:eastAsia="仿宋_GB2312"/>
          <w:sz w:val="24"/>
        </w:rPr>
      </w:pPr>
      <w:r>
        <w:rPr>
          <w:rFonts w:hint="eastAsia" w:ascii="仿宋_GB2312" w:hAnsi="Calibri" w:eastAsia="仿宋_GB2312"/>
          <w:sz w:val="24"/>
        </w:rPr>
        <w:t>根据工作底稿中反映的确定折现率考虑因素、依据分析及形成情况，以及对折现率口径的设定情况，加以准确、清晰、恰当地表述；</w:t>
      </w:r>
    </w:p>
    <w:p>
      <w:pPr>
        <w:spacing w:line="360" w:lineRule="auto"/>
        <w:ind w:left="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left="555"/>
        <w:rPr>
          <w:rFonts w:hint="eastAsia" w:ascii="仿宋_GB2312" w:hAnsi="Calibri" w:eastAsia="仿宋_GB2312"/>
          <w:sz w:val="24"/>
        </w:rPr>
      </w:pPr>
      <w:r>
        <w:rPr>
          <w:rFonts w:hint="eastAsia" w:ascii="仿宋_GB2312" w:hAnsi="Calibri" w:eastAsia="仿宋_GB2312"/>
          <w:sz w:val="24"/>
        </w:rPr>
        <w:t>a.完全做到，打5分；</w:t>
      </w:r>
    </w:p>
    <w:p>
      <w:pPr>
        <w:spacing w:line="360" w:lineRule="auto"/>
        <w:ind w:left="555"/>
        <w:rPr>
          <w:rFonts w:hint="eastAsia" w:ascii="仿宋_GB2312" w:hAnsi="Calibri" w:eastAsia="仿宋_GB2312"/>
          <w:sz w:val="24"/>
        </w:rPr>
      </w:pPr>
      <w:r>
        <w:rPr>
          <w:rFonts w:hint="eastAsia" w:ascii="仿宋_GB2312" w:hAnsi="Calibri" w:eastAsia="仿宋_GB2312"/>
          <w:sz w:val="24"/>
        </w:rPr>
        <w:t>b.对考虑因素、依据分析、形成过程表述以及口径设定的表述不够准确、</w:t>
      </w:r>
    </w:p>
    <w:p>
      <w:pPr>
        <w:spacing w:line="360" w:lineRule="auto"/>
        <w:rPr>
          <w:rFonts w:hint="eastAsia" w:ascii="仿宋_GB2312" w:hAnsi="Calibri" w:eastAsia="仿宋_GB2312"/>
          <w:sz w:val="24"/>
        </w:rPr>
      </w:pPr>
      <w:r>
        <w:rPr>
          <w:rFonts w:hint="eastAsia" w:ascii="仿宋_GB2312" w:hAnsi="Calibri" w:eastAsia="仿宋_GB2312"/>
          <w:sz w:val="24"/>
        </w:rPr>
        <w:t>清晰或恰当的，视严重程度打3-4分；</w:t>
      </w:r>
    </w:p>
    <w:p>
      <w:pPr>
        <w:spacing w:line="360" w:lineRule="auto"/>
        <w:ind w:left="555"/>
        <w:rPr>
          <w:rFonts w:hint="eastAsia" w:ascii="仿宋_GB2312" w:hAnsi="Calibri" w:eastAsia="仿宋_GB2312"/>
          <w:sz w:val="24"/>
        </w:rPr>
      </w:pPr>
      <w:r>
        <w:rPr>
          <w:rFonts w:hint="eastAsia" w:ascii="仿宋_GB2312" w:hAnsi="Calibri" w:eastAsia="仿宋_GB2312"/>
          <w:sz w:val="24"/>
        </w:rPr>
        <w:t>c.相对于工作底稿内容，上述4方面有表述错误的，打2分；</w:t>
      </w:r>
    </w:p>
    <w:p>
      <w:pPr>
        <w:spacing w:line="360" w:lineRule="auto"/>
        <w:ind w:left="555"/>
        <w:rPr>
          <w:rFonts w:hint="eastAsia" w:ascii="仿宋_GB2312" w:hAnsi="Calibri" w:eastAsia="仿宋_GB2312"/>
          <w:sz w:val="24"/>
        </w:rPr>
      </w:pPr>
      <w:r>
        <w:rPr>
          <w:rFonts w:hint="eastAsia" w:ascii="仿宋_GB2312" w:hAnsi="Calibri" w:eastAsia="仿宋_GB2312"/>
          <w:sz w:val="24"/>
        </w:rPr>
        <w:t>d.未披露相关信息的，打0分。</w:t>
      </w:r>
    </w:p>
    <w:p>
      <w:pPr>
        <w:spacing w:line="360" w:lineRule="auto"/>
        <w:ind w:left="555"/>
        <w:rPr>
          <w:rFonts w:hint="eastAsia" w:ascii="仿宋_GB2312" w:hAnsi="Calibri" w:eastAsia="仿宋_GB2312"/>
          <w:b/>
          <w:sz w:val="24"/>
        </w:rPr>
      </w:pPr>
      <w:r>
        <w:rPr>
          <w:rFonts w:hint="eastAsia" w:ascii="仿宋_GB2312" w:hAnsi="宋体" w:cs="宋体"/>
          <w:b/>
          <w:sz w:val="24"/>
        </w:rPr>
        <w:t>ⅳ</w:t>
      </w:r>
      <w:r>
        <w:rPr>
          <w:rFonts w:hint="eastAsia" w:ascii="仿宋_GB2312" w:hAnsi="Calibri" w:eastAsia="仿宋_GB2312"/>
          <w:b/>
          <w:sz w:val="24"/>
        </w:rPr>
        <w:t>评估计算过程和结果阐述</w:t>
      </w:r>
    </w:p>
    <w:p>
      <w:pPr>
        <w:spacing w:line="360" w:lineRule="auto"/>
        <w:ind w:firstLine="555"/>
        <w:rPr>
          <w:rFonts w:hint="eastAsia" w:ascii="仿宋_GB2312" w:hAnsi="Calibri" w:eastAsia="仿宋_GB2312"/>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1 \* GB3 </w:instrText>
      </w:r>
      <w:r>
        <w:rPr>
          <w:rFonts w:hint="eastAsia" w:ascii="仿宋_GB2312" w:hAnsi="Calibri" w:eastAsia="仿宋_GB2312"/>
          <w:b/>
          <w:sz w:val="24"/>
        </w:rPr>
        <w:fldChar w:fldCharType="separate"/>
      </w:r>
      <w:r>
        <w:rPr>
          <w:rFonts w:hint="eastAsia" w:ascii="仿宋_GB2312" w:hAnsi="Calibri" w:eastAsia="仿宋_GB2312"/>
          <w:b/>
          <w:sz w:val="24"/>
        </w:rPr>
        <w:t>①</w:t>
      </w:r>
      <w:r>
        <w:rPr>
          <w:rFonts w:hint="eastAsia" w:ascii="仿宋_GB2312" w:hAnsi="Calibri" w:eastAsia="仿宋_GB2312"/>
          <w:b/>
          <w:sz w:val="24"/>
        </w:rPr>
        <w:fldChar w:fldCharType="end"/>
      </w:r>
      <w:r>
        <w:rPr>
          <w:rFonts w:hint="eastAsia" w:ascii="仿宋_GB2312" w:hAnsi="Calibri" w:eastAsia="仿宋_GB2312"/>
          <w:b/>
          <w:sz w:val="24"/>
        </w:rPr>
        <w:t>检查要点</w:t>
      </w:r>
      <w:r>
        <w:rPr>
          <w:rFonts w:hint="eastAsia" w:ascii="仿宋_GB2312" w:hAnsi="Calibri" w:eastAsia="仿宋_GB2312"/>
          <w:sz w:val="24"/>
        </w:rPr>
        <w:t>：</w:t>
      </w:r>
    </w:p>
    <w:p>
      <w:pPr>
        <w:spacing w:line="360" w:lineRule="auto"/>
        <w:ind w:firstLine="555"/>
        <w:rPr>
          <w:rFonts w:hint="eastAsia" w:ascii="仿宋_GB2312" w:hAnsi="Calibri" w:eastAsia="仿宋_GB2312"/>
          <w:sz w:val="24"/>
        </w:rPr>
      </w:pPr>
      <w:r>
        <w:rPr>
          <w:rFonts w:hint="eastAsia" w:ascii="仿宋_GB2312" w:hAnsi="Calibri" w:eastAsia="仿宋_GB2312"/>
          <w:sz w:val="24"/>
        </w:rPr>
        <w:t>a.根据工作底稿中反映的</w:t>
      </w:r>
      <w:r>
        <w:rPr>
          <w:rFonts w:hint="eastAsia" w:ascii="仿宋_GB2312" w:hAnsi="宋体" w:eastAsia="仿宋_GB2312" w:cs="宋体"/>
          <w:sz w:val="24"/>
        </w:rPr>
        <w:t>选取</w:t>
      </w:r>
      <w:r>
        <w:rPr>
          <w:rFonts w:hint="eastAsia" w:ascii="仿宋_GB2312" w:hAnsi="Calibri" w:eastAsia="仿宋_GB2312"/>
          <w:sz w:val="24"/>
        </w:rPr>
        <w:t>的计算公式或估值模型，加以准确、清晰地表述；</w:t>
      </w:r>
    </w:p>
    <w:p>
      <w:pPr>
        <w:spacing w:line="360" w:lineRule="auto"/>
        <w:ind w:firstLine="555"/>
        <w:rPr>
          <w:rFonts w:hint="eastAsia" w:ascii="仿宋_GB2312" w:hAnsi="Calibri" w:eastAsia="仿宋_GB2312"/>
          <w:sz w:val="24"/>
        </w:rPr>
      </w:pPr>
      <w:r>
        <w:rPr>
          <w:rFonts w:hint="eastAsia" w:ascii="仿宋_GB2312" w:hAnsi="Calibri" w:eastAsia="仿宋_GB2312"/>
          <w:sz w:val="24"/>
        </w:rPr>
        <w:t>b. 根据工作底稿中反映的计算过程及评估结果，加以准确地披露。</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fldChar w:fldCharType="begin"/>
      </w:r>
      <w:r>
        <w:rPr>
          <w:rFonts w:hint="eastAsia" w:ascii="仿宋_GB2312" w:hAnsi="Calibri" w:eastAsia="仿宋_GB2312"/>
          <w:b/>
          <w:sz w:val="24"/>
        </w:rPr>
        <w:instrText xml:space="preserve"> = 2 \* GB3 </w:instrText>
      </w:r>
      <w:r>
        <w:rPr>
          <w:rFonts w:hint="eastAsia" w:ascii="仿宋_GB2312" w:hAnsi="Calibri" w:eastAsia="仿宋_GB2312"/>
          <w:b/>
          <w:sz w:val="24"/>
        </w:rPr>
        <w:fldChar w:fldCharType="separate"/>
      </w:r>
      <w:r>
        <w:rPr>
          <w:rFonts w:hint="eastAsia" w:ascii="仿宋_GB2312" w:hAnsi="Calibri" w:eastAsia="仿宋_GB2312"/>
          <w:b/>
          <w:sz w:val="24"/>
        </w:rPr>
        <w:t>②</w:t>
      </w:r>
      <w:r>
        <w:rPr>
          <w:rFonts w:hint="eastAsia" w:ascii="仿宋_GB2312" w:hAnsi="Calibri" w:eastAsia="仿宋_GB2312"/>
          <w:b/>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b.对计算公式或估值模型表述不够准确、清晰，视严重程度打3-4分；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 对评估结果表述不准确，打3分；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d.相对于工作底稿内容，计算公式或估值模型表述错误，打2分；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e 未披露计算或估值过程及结果（有必要情形下）的，打0分。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（3）对初步评估结果进行综合分析，形成最终评估结论的过程</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b/>
          <w:sz w:val="24"/>
        </w:rPr>
        <w:t>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a.由于对评估对象可能采用一种以上的评估方法而得出不同的评估价值，资产评估专业人员应就不同的评估结果所具有的含义、调整的理由和方法以及最终评估值的合理性进行说明。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b.根据工作底稿中反映的分析情况，加以准确、清晰、恰当地表述。</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b/>
          <w:sz w:val="24"/>
        </w:rPr>
        <w:t>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a.完全做到上述两点，打5分；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b.表述不够准确、清晰、恰当，视严重程度打3-4分；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d.相对于工作底稿内容，选取的结果表述错误，打2分；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c.未披露相关内容（有必要情形下）的，打0分。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（十九）评估假设</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适用准则：《资产评估执业准则——资产评估报告》第二十三条“资产评估报告应当披露所使用的资产评估假设。”</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《资产评估执业准则——资产评估程序》第二十条“资产评估专业人员执行资产评估</w:t>
      </w:r>
      <w:r>
        <w:rPr>
          <w:rFonts w:hint="eastAsia" w:ascii="仿宋_GB2312" w:eastAsia="仿宋_GB2312"/>
          <w:sz w:val="24"/>
        </w:rPr>
        <w:t>业务</w:t>
      </w:r>
      <w:r>
        <w:rPr>
          <w:rFonts w:hint="eastAsia" w:ascii="仿宋_GB2312" w:hAnsi="黑体" w:eastAsia="仿宋_GB2312"/>
          <w:sz w:val="24"/>
        </w:rPr>
        <w:t>，应当合理使用评估假设，并在资产评估报告中披露评估假设。”</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 xml:space="preserve">《企业国有资产评估报告指南》第二十一条“资产评估报告应当说明资产评估所使用的假设。” </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 应当合理、恰当、充分地使用和披露必要的评估假设（如资产使用状态的假设、交易的假设、评估外部环境的假设、评估对象的假设、收集资料真实性的假设等）及其对评估结论的影响；</w:t>
      </w:r>
    </w:p>
    <w:p>
      <w:pPr>
        <w:spacing w:line="360" w:lineRule="auto"/>
        <w:ind w:firstLine="555"/>
        <w:rPr>
          <w:rFonts w:hint="eastAsia" w:ascii="仿宋_GB2312" w:hAnsi="Calibri" w:eastAsia="仿宋_GB2312"/>
          <w:sz w:val="24"/>
        </w:rPr>
      </w:pPr>
      <w:r>
        <w:rPr>
          <w:rFonts w:hint="eastAsia" w:ascii="仿宋_GB2312" w:hAnsi="Calibri" w:eastAsia="仿宋_GB2312"/>
          <w:sz w:val="24"/>
        </w:rPr>
        <w:t>（2）关键评估假设与现实情况是否相符且有合理解释；</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（3）评估方法的选择和评估假设是否匹配;</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（1）满足上述3项要求的，打5分；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（2）评估假设披露存在表述不够准确、清晰情况的，打4分；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（3）评估假设存在明显不合理、不恰当情况，视严重程度打2-3分；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（4）关键评估假设与现实情况不相符且没有合理解释的，视严重程度打1-2分；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（5）评估假设与评估方法的选择不匹配，根据分析判断对评估结果的影响程度，打1-2；</w:t>
      </w:r>
    </w:p>
    <w:p>
      <w:pPr>
        <w:spacing w:line="360" w:lineRule="auto"/>
        <w:ind w:firstLine="555"/>
        <w:rPr>
          <w:rFonts w:hint="eastAsia" w:ascii="仿宋_GB2312" w:hAnsi="Calibri" w:eastAsia="仿宋_GB2312"/>
          <w:sz w:val="24"/>
        </w:rPr>
      </w:pPr>
      <w:r>
        <w:rPr>
          <w:rFonts w:hint="eastAsia" w:ascii="仿宋_GB2312" w:hAnsi="Calibri" w:eastAsia="仿宋_GB2312"/>
          <w:sz w:val="24"/>
        </w:rPr>
        <w:t>（6）未进行披露，打0分。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（二十）评估结论</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1.评估结论计算正确</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适用准则：《资产评估基本准则》第五条“资产评估机构及其资产评估专业人员应当诚实守信，勤勉尽责，谨慎从业，遵守职业道德规范，自觉维护职业形象，不得从事损害职业形象的活动。”</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在使用成本法、市场法和收益法评估资产的过程中，各项公式、模型应用正确，各项参数、比率确定正确，各种逻辑关系钩稽正确；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数学计算过程和结果正确。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 xml:space="preserve"> 各项评定估算过程和结果均正确无误，打5分；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 xml:space="preserve"> 评定估算过程有错误，单项计算结果错误金额绝对值累计占评估结论比例≤2%，打4分；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 xml:space="preserve"> 评定计算错误，单项计算结果错误金额绝对值累计占评估结论比例在2--5%之间，打3分；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 xml:space="preserve"> 评定计算错误，单项计算结果错误金额绝对值累计占评估结论比例在5-7%之间，打2分；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5 \* GB3 </w:instrText>
      </w:r>
      <w:r>
        <w:rPr>
          <w:rFonts w:hint="eastAsia" w:ascii="仿宋_GB2312" w:hAnsi="Calibri" w:eastAsia="仿宋_GB2312"/>
          <w:sz w:val="24"/>
        </w:rPr>
        <w:fldChar w:fldCharType="separate"/>
      </w:r>
      <w:r>
        <w:rPr>
          <w:rFonts w:hint="eastAsia" w:ascii="仿宋_GB2312" w:hAnsi="Calibri" w:eastAsia="仿宋_GB2312"/>
          <w:sz w:val="24"/>
        </w:rPr>
        <w:t>⑤</w:t>
      </w:r>
      <w:r>
        <w:rPr>
          <w:rFonts w:hint="eastAsia" w:ascii="仿宋_GB2312" w:hAnsi="Calibri" w:eastAsia="仿宋_GB2312"/>
          <w:sz w:val="24"/>
        </w:rPr>
        <w:fldChar w:fldCharType="end"/>
      </w:r>
      <w:r>
        <w:rPr>
          <w:rFonts w:hint="eastAsia" w:ascii="仿宋_GB2312" w:hAnsi="Calibri" w:eastAsia="仿宋_GB2312"/>
          <w:sz w:val="24"/>
        </w:rPr>
        <w:t>评定计算错误，单项计算结果错误金额绝对值累计占评估结论比例在7-10%之间，打1分；</w:t>
      </w:r>
    </w:p>
    <w:p>
      <w:pPr>
        <w:spacing w:line="360" w:lineRule="auto"/>
        <w:ind w:firstLine="555"/>
        <w:rPr>
          <w:rFonts w:hint="eastAsia" w:ascii="仿宋_GB2312" w:hAnsi="Calibri" w:eastAsia="仿宋_GB2312"/>
          <w:b/>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6 \* GB3 </w:instrText>
      </w:r>
      <w:r>
        <w:rPr>
          <w:rFonts w:hint="eastAsia" w:ascii="仿宋_GB2312" w:hAnsi="Calibri" w:eastAsia="仿宋_GB2312"/>
          <w:sz w:val="24"/>
        </w:rPr>
        <w:fldChar w:fldCharType="separate"/>
      </w:r>
      <w:r>
        <w:rPr>
          <w:rFonts w:hint="eastAsia" w:ascii="仿宋_GB2312" w:hAnsi="Calibri" w:eastAsia="仿宋_GB2312"/>
          <w:sz w:val="24"/>
        </w:rPr>
        <w:t>⑥</w:t>
      </w:r>
      <w:r>
        <w:rPr>
          <w:rFonts w:hint="eastAsia" w:ascii="仿宋_GB2312" w:hAnsi="Calibri" w:eastAsia="仿宋_GB2312"/>
          <w:sz w:val="24"/>
        </w:rPr>
        <w:fldChar w:fldCharType="end"/>
      </w:r>
      <w:r>
        <w:rPr>
          <w:rFonts w:hint="eastAsia" w:ascii="仿宋_GB2312" w:hAnsi="Calibri" w:eastAsia="仿宋_GB2312"/>
          <w:sz w:val="24"/>
        </w:rPr>
        <w:t xml:space="preserve"> 评定计算错误，单项计算结果错误金额绝对值累计占评估结论比例在10%以上，打0分。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2.评估结论披露充分、准确</w:t>
      </w:r>
    </w:p>
    <w:p>
      <w:pPr>
        <w:spacing w:line="360" w:lineRule="auto"/>
        <w:ind w:firstLine="566" w:firstLineChars="236"/>
        <w:rPr>
          <w:rFonts w:hint="eastAsia" w:ascii="仿宋_GB2312" w:hAnsi="黑体" w:eastAsia="仿宋_GB2312"/>
          <w:sz w:val="24"/>
        </w:rPr>
      </w:pPr>
      <w:r>
        <w:rPr>
          <w:rFonts w:hint="eastAsia" w:ascii="仿宋_GB2312" w:hAnsi="黑体" w:eastAsia="仿宋_GB2312"/>
          <w:sz w:val="24"/>
        </w:rPr>
        <w:t>适用准则：</w:t>
      </w:r>
      <w:r>
        <w:rPr>
          <w:rFonts w:hint="eastAsia" w:ascii="仿宋_GB2312" w:eastAsia="仿宋_GB2312"/>
          <w:sz w:val="24"/>
        </w:rPr>
        <w:t>《资产评估执业准则——资产评估报告》第二十四条“资产评估报告应当以文字和数字形式表述评估结论，并明确评估结论的使用有效期。评估结论通常是确定的数值。经与委托人沟通，评估结论可以是区间值或者其他形式的专业意见。”</w:t>
      </w:r>
    </w:p>
    <w:p>
      <w:pPr>
        <w:spacing w:line="360" w:lineRule="auto"/>
        <w:ind w:firstLine="480" w:firstLineChars="200"/>
        <w:outlineLvl w:val="0"/>
        <w:rPr>
          <w:rFonts w:hint="eastAsia" w:ascii="仿宋_GB2312" w:hAnsi="黑体" w:eastAsia="仿宋_GB2312"/>
          <w:b/>
          <w:sz w:val="24"/>
        </w:rPr>
      </w:pPr>
      <w:r>
        <w:rPr>
          <w:rFonts w:hint="eastAsia" w:ascii="仿宋_GB2312" w:hAnsi="黑体" w:eastAsia="仿宋_GB2312"/>
          <w:sz w:val="24"/>
        </w:rPr>
        <w:t>《企业国有资产评估报告指南》第二十二条“资产评估报告应当以文字和数字形式清晰说明评估结论，并明确评估结论的使用有效期。评估结论通常是确定的数值。境外企业国有资产评估报告的评估结论可以用区间值表达,……,（二）单项资产或者资产组合评估，应当以文字形式说明账面价值、评估价值及其增减幅度；（四）存在多家被评估单位的项目，应当分别说明评估价值；（五）评估结论为区间值的，应当在区间之内确定一个最大可能值，并说明确定依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形成的评估结论应披露充分、准确；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应当在评估报告中以文字和数字形式清晰表述评估结论。根据需要说明帐面价值、评估价值及其增减幅度；</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应明确评估结论的使用有效期。</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如果针对评估对象采用两种以上方法进行资产评估，应当说明两种以上评估方法结果的差异及其原因和最终确定评估结论的理由。</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做到上述要求，且表述清晰，打5分；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基本做到上述要求，但表述不够清晰，打4分；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3 \* GB3 </w:instrText>
      </w:r>
      <w:r>
        <w:rPr>
          <w:rFonts w:hint="eastAsia" w:ascii="仿宋_GB2312" w:hAnsi="Calibri" w:eastAsia="仿宋_GB2312"/>
          <w:sz w:val="24"/>
        </w:rPr>
        <w:fldChar w:fldCharType="separate"/>
      </w:r>
      <w:r>
        <w:rPr>
          <w:rFonts w:hint="eastAsia" w:ascii="仿宋_GB2312" w:hAnsi="Calibri" w:eastAsia="仿宋_GB2312"/>
          <w:sz w:val="24"/>
        </w:rPr>
        <w:t>③</w:t>
      </w:r>
      <w:r>
        <w:rPr>
          <w:rFonts w:hint="eastAsia" w:ascii="仿宋_GB2312" w:hAnsi="Calibri" w:eastAsia="仿宋_GB2312"/>
          <w:sz w:val="24"/>
        </w:rPr>
        <w:fldChar w:fldCharType="end"/>
      </w:r>
      <w:r>
        <w:rPr>
          <w:rFonts w:hint="eastAsia" w:ascii="仿宋_GB2312" w:hAnsi="Calibri" w:eastAsia="仿宋_GB2312"/>
          <w:sz w:val="24"/>
        </w:rPr>
        <w:t>根据要求应进行评估增减值分析而未进行相关分析的，打4分；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4 \* GB3 </w:instrText>
      </w:r>
      <w:r>
        <w:rPr>
          <w:rFonts w:hint="eastAsia" w:ascii="仿宋_GB2312" w:hAnsi="Calibri" w:eastAsia="仿宋_GB2312"/>
          <w:sz w:val="24"/>
        </w:rPr>
        <w:fldChar w:fldCharType="separate"/>
      </w:r>
      <w:r>
        <w:rPr>
          <w:rFonts w:hint="eastAsia" w:ascii="仿宋_GB2312" w:hAnsi="Calibri" w:eastAsia="仿宋_GB2312"/>
          <w:sz w:val="24"/>
        </w:rPr>
        <w:t>④</w:t>
      </w:r>
      <w:r>
        <w:rPr>
          <w:rFonts w:hint="eastAsia" w:ascii="仿宋_GB2312" w:hAnsi="Calibri" w:eastAsia="仿宋_GB2312"/>
          <w:sz w:val="24"/>
        </w:rPr>
        <w:fldChar w:fldCharType="end"/>
      </w:r>
      <w:r>
        <w:rPr>
          <w:rFonts w:hint="eastAsia" w:ascii="仿宋_GB2312" w:hAnsi="Calibri" w:eastAsia="仿宋_GB2312"/>
          <w:sz w:val="24"/>
        </w:rPr>
        <w:t>采用两种或两种以上方法评估的，未说明最终确定评估结论的理由，打3分；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5 \* GB3 </w:instrText>
      </w:r>
      <w:r>
        <w:rPr>
          <w:rFonts w:hint="eastAsia" w:ascii="仿宋_GB2312" w:hAnsi="Calibri" w:eastAsia="仿宋_GB2312"/>
          <w:sz w:val="24"/>
        </w:rPr>
        <w:fldChar w:fldCharType="separate"/>
      </w:r>
      <w:r>
        <w:rPr>
          <w:rFonts w:hint="eastAsia" w:ascii="仿宋_GB2312" w:hAnsi="Calibri" w:eastAsia="仿宋_GB2312"/>
          <w:sz w:val="24"/>
        </w:rPr>
        <w:t>⑤</w:t>
      </w:r>
      <w:r>
        <w:rPr>
          <w:rFonts w:hint="eastAsia" w:ascii="仿宋_GB2312" w:hAnsi="Calibri" w:eastAsia="仿宋_GB2312"/>
          <w:sz w:val="24"/>
        </w:rPr>
        <w:fldChar w:fldCharType="end"/>
      </w:r>
      <w:r>
        <w:rPr>
          <w:rFonts w:hint="eastAsia" w:ascii="仿宋_GB2312" w:hAnsi="Calibri" w:eastAsia="仿宋_GB2312"/>
          <w:sz w:val="24"/>
        </w:rPr>
        <w:t xml:space="preserve">未明确评估结论的使用有效期，打3分； </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6 \* GB3 </w:instrText>
      </w:r>
      <w:r>
        <w:rPr>
          <w:rFonts w:hint="eastAsia" w:ascii="仿宋_GB2312" w:hAnsi="Calibri" w:eastAsia="仿宋_GB2312"/>
          <w:sz w:val="24"/>
        </w:rPr>
        <w:fldChar w:fldCharType="separate"/>
      </w:r>
      <w:r>
        <w:rPr>
          <w:rFonts w:hint="eastAsia" w:ascii="仿宋_GB2312" w:hAnsi="Calibri" w:eastAsia="仿宋_GB2312"/>
          <w:sz w:val="24"/>
        </w:rPr>
        <w:t>⑥</w:t>
      </w:r>
      <w:r>
        <w:rPr>
          <w:rFonts w:hint="eastAsia" w:ascii="仿宋_GB2312" w:hAnsi="Calibri" w:eastAsia="仿宋_GB2312"/>
          <w:sz w:val="24"/>
        </w:rPr>
        <w:fldChar w:fldCharType="end"/>
      </w:r>
      <w:r>
        <w:rPr>
          <w:rFonts w:hint="eastAsia" w:ascii="仿宋_GB2312" w:hAnsi="Calibri" w:eastAsia="仿宋_GB2312"/>
          <w:sz w:val="24"/>
        </w:rPr>
        <w:t>对应工作底稿内容，评估结论中重要数字表述错误，打2分；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⑦无此项内容，打0分。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（二十一）特别事项说明</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1.权属等主要资料不完整或者存在瑕疵的情形</w:t>
      </w:r>
    </w:p>
    <w:p>
      <w:pPr>
        <w:spacing w:line="360" w:lineRule="auto"/>
        <w:ind w:firstLine="566" w:firstLineChars="236"/>
        <w:rPr>
          <w:rFonts w:hint="eastAsia" w:ascii="仿宋_GB2312" w:eastAsia="仿宋_GB2312"/>
          <w:sz w:val="24"/>
        </w:rPr>
      </w:pPr>
      <w:r>
        <w:rPr>
          <w:rFonts w:hint="eastAsia" w:ascii="仿宋_GB2312" w:eastAsia="仿宋_GB2312"/>
          <w:sz w:val="24"/>
        </w:rPr>
        <w:t>适用准则：《资产评估执业准则——资产评估报告》第二十五条“资产评估报告的特别事项说明包括：（一）权属等主要资料不完整或者存在瑕疵的情形”</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三条“资产评估报告应当说明评估程序受到的限制、评估特殊处理、评估结论瑕疵等特别事项，以及期后事项，通常包括下列内容：（二）权属资料不全面或者存在瑕疵的情形；”</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列示在评估过程中发现的主要资产存在的产权瑕疵问题。如：权证缺失；权证证载资产状况与实际勘查资产状况存在不一致；权证证载所有权人与实际所有权人不一致；融资租赁的机器设备货款未付清等。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恰当披露该情形对评估结论的影响。</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对权属等主要资料不完整或者存在瑕疵的情形披露不够完整，视严重程度打3-4分；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③针对此情形对评估结论的影响披露不够完整、恰当，视严重程度打3-4分；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④应披露而未披露的产权资料瑕疵及产权不完整情形的，打0分。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2.委托人未提供的其他关键资料情况</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适用准则：《资产评估执业准则——资产评估报告》第二十五条“资产评估报告的特别事项说明包括：（二）委托人未提供的其他关键资料情况”</w:t>
      </w:r>
    </w:p>
    <w:p>
      <w:pPr>
        <w:spacing w:line="360" w:lineRule="auto"/>
        <w:ind w:firstLine="480" w:firstLineChars="200"/>
        <w:outlineLvl w:val="0"/>
        <w:rPr>
          <w:rFonts w:hint="eastAsia" w:ascii="仿宋_GB2312" w:hAnsi="黑体" w:eastAsia="仿宋_GB2312"/>
          <w:b/>
          <w:sz w:val="24"/>
        </w:rPr>
      </w:pPr>
      <w:r>
        <w:rPr>
          <w:rFonts w:hint="eastAsia" w:ascii="仿宋_GB2312" w:hAnsi="仿宋" w:eastAsia="仿宋_GB2312"/>
          <w:sz w:val="24"/>
        </w:rPr>
        <w:t>《企业国有资产评估报告指南》第二十三条“资产评估报告应当说明评估程序受到的限制、评估特殊处理、评估结论瑕疵等特别事项，以及期后事项，通常包括下列内容：（四）评估资料不完整的情形；”</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列示在评估过程中存在的委托人未提供的关键资料情况；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恰当披露该情形对评估结论的影响。</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6"/>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对委托人未提供的关键资料披露不够完整、恰当，视严重程度打3-4分；</w:t>
      </w:r>
    </w:p>
    <w:p>
      <w:pPr>
        <w:spacing w:line="360" w:lineRule="auto"/>
        <w:ind w:firstLine="556"/>
        <w:rPr>
          <w:rFonts w:hint="eastAsia" w:ascii="仿宋_GB2312" w:hAnsi="Calibri" w:eastAsia="仿宋_GB2312"/>
          <w:sz w:val="24"/>
        </w:rPr>
      </w:pPr>
      <w:r>
        <w:rPr>
          <w:rFonts w:hint="eastAsia" w:ascii="仿宋_GB2312" w:hAnsi="Calibri" w:eastAsia="仿宋_GB2312"/>
          <w:sz w:val="24"/>
        </w:rPr>
        <w:t>③针对此情形对评估结论的影响披露不够完整、恰当，视严重程度打3-4分；</w:t>
      </w:r>
    </w:p>
    <w:p>
      <w:pPr>
        <w:spacing w:line="360" w:lineRule="auto"/>
        <w:ind w:firstLine="556"/>
        <w:rPr>
          <w:rFonts w:hint="eastAsia" w:ascii="仿宋_GB2312" w:hAnsi="Calibri" w:eastAsia="仿宋_GB2312"/>
          <w:sz w:val="24"/>
        </w:rPr>
      </w:pPr>
      <w:r>
        <w:rPr>
          <w:rFonts w:hint="eastAsia" w:ascii="仿宋_GB2312" w:hAnsi="Calibri" w:eastAsia="仿宋_GB2312"/>
          <w:sz w:val="24"/>
        </w:rPr>
        <w:t>④应披露而未披露委托人未提供的关键资料情形的，打0分。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3.未决事项、法律纠纷等不确定因素</w:t>
      </w:r>
    </w:p>
    <w:p>
      <w:pPr>
        <w:spacing w:line="360" w:lineRule="auto"/>
        <w:ind w:firstLine="566" w:firstLineChars="236"/>
        <w:rPr>
          <w:rFonts w:hint="eastAsia" w:ascii="仿宋_GB2312" w:hAnsi="仿宋" w:eastAsia="仿宋_GB2312"/>
          <w:sz w:val="24"/>
        </w:rPr>
      </w:pPr>
      <w:r>
        <w:rPr>
          <w:rFonts w:hint="eastAsia" w:ascii="仿宋_GB2312" w:hAnsi="仿宋" w:eastAsia="仿宋_GB2312"/>
          <w:sz w:val="24"/>
        </w:rPr>
        <w:t>适用准则：《资产评估执业准则——资产评估报告》第二十五条“资产评估报告的特别事项说明包括：（三）未决事项、法律纠纷等不确定因素”</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三条“资产评估报告应当说明评估程序受到的限制、评估特殊处理、评估结论瑕疵等特别事项，以及期后事项，通常包括下列内容：（五）评估基准日存在的法律、经济等未决事项；”</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列示在评估过程中发现的对评估结果产生重大影响的未决事项和法律纠纷。如：所有对评估结果产生重大影响的未决事项；所有对评估结果产生重大影响的法律纠纷；存在影响生产经营活动和财务状况的重大合同、重大诉讼事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恰当披露该情形对评估结论的影响。</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相关信息披露不够完整、恰当的，视严重程度打3-4分；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③应披露而未披露未决事项、法律纠纷等不确定因素的，打0分。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4.重要的利用专家工作及相关报告情况</w:t>
      </w:r>
    </w:p>
    <w:p>
      <w:pPr>
        <w:spacing w:line="360" w:lineRule="auto"/>
        <w:ind w:firstLine="566" w:firstLineChars="236"/>
        <w:rPr>
          <w:rFonts w:hint="eastAsia" w:ascii="仿宋_GB2312" w:eastAsia="仿宋_GB2312"/>
          <w:sz w:val="24"/>
        </w:rPr>
      </w:pPr>
      <w:r>
        <w:rPr>
          <w:rFonts w:hint="eastAsia" w:ascii="仿宋_GB2312" w:eastAsia="仿宋_GB2312"/>
          <w:sz w:val="24"/>
        </w:rPr>
        <w:t>适用准则：《资产评估执业准则——资产评估报告》第二十五条“资产评估报告的特别事项说明包括：（四）重要的利用专家工作及相关报告情况”</w:t>
      </w:r>
    </w:p>
    <w:p>
      <w:pPr>
        <w:spacing w:line="360" w:lineRule="auto"/>
        <w:ind w:firstLine="480" w:firstLineChars="200"/>
        <w:outlineLvl w:val="0"/>
        <w:rPr>
          <w:rFonts w:hint="eastAsia" w:ascii="仿宋_GB2312" w:eastAsia="仿宋_GB2312"/>
          <w:sz w:val="24"/>
        </w:rPr>
      </w:pPr>
      <w:r>
        <w:rPr>
          <w:rFonts w:hint="eastAsia" w:ascii="仿宋_GB2312" w:eastAsia="仿宋_GB2312"/>
          <w:sz w:val="24"/>
        </w:rPr>
        <w:t>《资产评估执业准则——利用专家工作及相关报告》第二十八条“聘请专家个人协助工作作为资产评估专业支持，应当在资产评估报告中说明聘请专家工作的内容。”</w:t>
      </w:r>
    </w:p>
    <w:p>
      <w:pPr>
        <w:spacing w:line="360" w:lineRule="auto"/>
        <w:ind w:firstLine="480" w:firstLineChars="200"/>
        <w:outlineLvl w:val="0"/>
        <w:rPr>
          <w:rFonts w:hint="eastAsia" w:ascii="仿宋_GB2312" w:eastAsia="仿宋_GB2312"/>
          <w:sz w:val="24"/>
        </w:rPr>
      </w:pPr>
      <w:r>
        <w:rPr>
          <w:rFonts w:hint="eastAsia" w:ascii="仿宋_GB2312" w:eastAsia="仿宋_GB2312"/>
          <w:sz w:val="24"/>
        </w:rPr>
        <w:t>《资产评估执业准则——利用专家工作及相关报告》第二十九条“利用相关专业机构出具的专业报告作为资产评估依据，应当在资产评估报告中披露以下内容：（一）专业机构名称、专业报告名称、专业报告编号以及出具日期；（二）专业报告结论及其相关补充性或者解释性说明；（三）其他需要披露的重要事项。”</w:t>
      </w:r>
    </w:p>
    <w:p>
      <w:pPr>
        <w:spacing w:line="360" w:lineRule="auto"/>
        <w:ind w:firstLine="480" w:firstLineChars="200"/>
        <w:outlineLvl w:val="0"/>
        <w:rPr>
          <w:rFonts w:hint="eastAsia" w:ascii="仿宋_GB2312" w:eastAsia="仿宋_GB2312"/>
          <w:sz w:val="24"/>
        </w:rPr>
      </w:pPr>
      <w:r>
        <w:rPr>
          <w:rFonts w:hint="eastAsia" w:ascii="仿宋_GB2312" w:eastAsia="仿宋_GB2312"/>
          <w:sz w:val="24"/>
        </w:rPr>
        <w:t>《资产评估执业准则——利用专家工作及相关报告》第三十条“引用单项资产评估报告作为资产评估报告的组成部分，应当在资产评估报告中披露以下内容：（一）引用单项资产评估报告的评估机构名称、报告名称、报告编号、出具日期等；（二）引用单项资产评估报告的资产、数量、产权权属等；（三）引用单项资产评估报告的评估方法、假设前提、使用限制以及相关事项；（四）引用单项资产评估报告的评估结论；（五）其他需要披露的重要事项。”</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三条“资产评估报告应当说明评估程序受到的限制、评估特殊处理、评估结论瑕疵等特别事项，以及期后事项，通常包括下列内容：（一）引用其他机构出具报告结论的情况，并说明承担引用不当的相关责任；”</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说明重要的利用专家工作及相关报告情况；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利用相关专业机构出具的专业报告作为资产评估依据，应当在资产评估报告中披露以下内容：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a.专业机构名称、专业报告名称、专业报告编号以及出具日期；</w:t>
      </w:r>
    </w:p>
    <w:p>
      <w:pPr>
        <w:spacing w:line="360" w:lineRule="auto"/>
        <w:ind w:firstLine="555"/>
        <w:rPr>
          <w:rFonts w:hint="eastAsia" w:ascii="仿宋_GB2312" w:hAnsi="Calibri" w:eastAsia="仿宋_GB2312"/>
          <w:sz w:val="24"/>
        </w:rPr>
      </w:pPr>
      <w:r>
        <w:rPr>
          <w:rFonts w:hint="eastAsia" w:ascii="仿宋_GB2312" w:hAnsi="Calibri" w:eastAsia="仿宋_GB2312"/>
          <w:sz w:val="24"/>
        </w:rPr>
        <w:t>b.专业报告结论及其相关补充性或者解释性说明；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c.其他需要披露的重要事项。</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③引用单项资产评估报告作为资产评估报告的组成部分，应当在资产评估报告中披露以下内容：</w:t>
      </w:r>
    </w:p>
    <w:p>
      <w:pPr>
        <w:spacing w:line="360" w:lineRule="auto"/>
        <w:ind w:firstLine="555"/>
        <w:rPr>
          <w:rFonts w:hint="eastAsia" w:ascii="仿宋_GB2312" w:hAnsi="Calibri" w:eastAsia="仿宋_GB2312"/>
          <w:sz w:val="24"/>
        </w:rPr>
      </w:pPr>
      <w:r>
        <w:rPr>
          <w:rFonts w:hint="eastAsia" w:ascii="仿宋_GB2312" w:hAnsi="Calibri" w:eastAsia="仿宋_GB2312"/>
          <w:sz w:val="24"/>
        </w:rPr>
        <w:t>a.引用单项资产评估报告的评估机构名称、报告名称、报告编号、出具日期等；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b.引用单项资产评估报告的资产、数量、产权权属等；</w:t>
      </w:r>
    </w:p>
    <w:p>
      <w:pPr>
        <w:spacing w:line="360" w:lineRule="auto"/>
        <w:ind w:firstLine="555"/>
        <w:rPr>
          <w:rFonts w:hint="eastAsia" w:ascii="仿宋_GB2312" w:hAnsi="Calibri" w:eastAsia="仿宋_GB2312"/>
          <w:sz w:val="24"/>
        </w:rPr>
      </w:pPr>
      <w:r>
        <w:rPr>
          <w:rFonts w:hint="eastAsia" w:ascii="仿宋_GB2312" w:hAnsi="Calibri" w:eastAsia="仿宋_GB2312"/>
          <w:sz w:val="24"/>
        </w:rPr>
        <w:t>c.引用单项资产评估报告的评估方法、假设前提、使用限制以及相关事项；</w:t>
      </w:r>
    </w:p>
    <w:p>
      <w:pPr>
        <w:spacing w:line="360" w:lineRule="auto"/>
        <w:ind w:firstLine="555"/>
        <w:rPr>
          <w:rFonts w:hint="eastAsia" w:ascii="仿宋_GB2312" w:hAnsi="Calibri" w:eastAsia="仿宋_GB2312"/>
          <w:sz w:val="24"/>
        </w:rPr>
      </w:pPr>
      <w:r>
        <w:rPr>
          <w:rFonts w:hint="eastAsia" w:ascii="仿宋_GB2312" w:hAnsi="Calibri" w:eastAsia="仿宋_GB2312"/>
          <w:sz w:val="24"/>
        </w:rPr>
        <w:t>d.引用单项资产评估报告的评估结论；</w:t>
      </w:r>
    </w:p>
    <w:p>
      <w:pPr>
        <w:spacing w:line="360" w:lineRule="auto"/>
        <w:ind w:firstLine="555"/>
        <w:rPr>
          <w:rFonts w:hint="eastAsia" w:ascii="仿宋_GB2312" w:hAnsi="Calibri" w:eastAsia="仿宋_GB2312"/>
          <w:sz w:val="24"/>
        </w:rPr>
      </w:pPr>
      <w:r>
        <w:rPr>
          <w:rFonts w:hint="eastAsia" w:ascii="仿宋_GB2312" w:hAnsi="Calibri" w:eastAsia="仿宋_GB2312"/>
          <w:sz w:val="24"/>
        </w:rPr>
        <w:t>e.其他需要披露的重要事项。</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相关信息披露不够完整、恰当，视严重程度打3-4分；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③应披露而未披露利用专家工作或相关报告情形的，打0分。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5.重大期后事项</w:t>
      </w:r>
    </w:p>
    <w:p>
      <w:pPr>
        <w:spacing w:line="360" w:lineRule="auto"/>
        <w:ind w:firstLine="566" w:firstLineChars="236"/>
        <w:rPr>
          <w:rFonts w:hint="eastAsia" w:ascii="仿宋_GB2312" w:hAnsi="仿宋" w:eastAsia="仿宋_GB2312"/>
          <w:b/>
          <w:sz w:val="24"/>
        </w:rPr>
      </w:pPr>
      <w:r>
        <w:rPr>
          <w:rFonts w:hint="eastAsia" w:ascii="仿宋_GB2312" w:hAnsi="仿宋" w:eastAsia="仿宋_GB2312"/>
          <w:sz w:val="24"/>
        </w:rPr>
        <w:t>适用准则：《资产评估执业准则——资产评估报告》第二十五条“资产评估报告的特别事项说明包括：（五）重大期后事项”</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三条“资产评估报告应当说明评估程序受到的限制、评估特殊处理、评估结论瑕疵等特别事项，以及期后事项，通常包括下列内容：（七）评估基准日至资产评估报告日之间可能对评估结论产生影响的事项；”</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表述在评估过程中发现的重大期后事项概况；</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恰当披露评估专业人员对该事项的考虑情况。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对重大期后事项内容披露不够完整、清晰，视严重程度打3-4分；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③评估专业人员对该事项的考虑情况披露不够恰当，视严重程度打3-4分；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④应披露而未披露重大期后事项情形的，打0分。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6.评估程序受限的有关情况、评估机构采取的弥补措施及对评估结论影响的情况</w:t>
      </w:r>
    </w:p>
    <w:p>
      <w:pPr>
        <w:spacing w:line="360" w:lineRule="auto"/>
        <w:ind w:firstLine="480" w:firstLineChars="200"/>
        <w:outlineLvl w:val="0"/>
        <w:rPr>
          <w:rFonts w:hint="eastAsia" w:ascii="仿宋_GB2312" w:eastAsia="仿宋_GB2312"/>
          <w:sz w:val="24"/>
        </w:rPr>
      </w:pPr>
      <w:r>
        <w:rPr>
          <w:rFonts w:hint="eastAsia" w:ascii="仿宋_GB2312" w:eastAsia="仿宋_GB2312"/>
          <w:sz w:val="24"/>
        </w:rPr>
        <w:t>适用准则：《资产评估执业准则——资产评估报告》第二十五条“资产评估报告的特别事项说明包括：（六）评估程序受限的有关情况、评估机构采取的弥补措施及对评估结论影响的情况”</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《企业国有资产评估报告指南》第二十三条 “资产评估报告应当说明评估程序受到的限制、评估特殊处理、评估结论瑕疵等特别事项，以及期后事项，通常包括下列内容：（三）评估程序受到限制的情形；”</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披露评估程序受限的有关情况、评估机构采取的弥补措施情况及资产评估专业人员判断的对评估结论影响的情况。</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1 \* GB3 </w:instrText>
      </w:r>
      <w:r>
        <w:rPr>
          <w:rFonts w:hint="eastAsia" w:ascii="仿宋_GB2312" w:hAnsi="Calibri" w:eastAsia="仿宋_GB2312"/>
          <w:sz w:val="24"/>
        </w:rPr>
        <w:fldChar w:fldCharType="separate"/>
      </w:r>
      <w:r>
        <w:rPr>
          <w:rFonts w:hint="eastAsia" w:ascii="仿宋_GB2312" w:hAnsi="Calibri" w:eastAsia="仿宋_GB2312"/>
          <w:sz w:val="24"/>
        </w:rPr>
        <w:t>①</w:t>
      </w:r>
      <w:r>
        <w:rPr>
          <w:rFonts w:hint="eastAsia" w:ascii="仿宋_GB2312" w:hAnsi="Calibri" w:eastAsia="仿宋_GB2312"/>
          <w:sz w:val="24"/>
        </w:rPr>
        <w:fldChar w:fldCharType="end"/>
      </w:r>
      <w:r>
        <w:rPr>
          <w:rFonts w:hint="eastAsia" w:ascii="仿宋_GB2312" w:hAnsi="Calibri" w:eastAsia="仿宋_GB2312"/>
          <w:sz w:val="24"/>
        </w:rPr>
        <w:t>相关信息披露完整、恰当，打5分；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fldChar w:fldCharType="begin"/>
      </w:r>
      <w:r>
        <w:rPr>
          <w:rFonts w:hint="eastAsia" w:ascii="仿宋_GB2312" w:hAnsi="Calibri" w:eastAsia="仿宋_GB2312"/>
          <w:sz w:val="24"/>
        </w:rPr>
        <w:instrText xml:space="preserve"> = 2 \* GB3 </w:instrText>
      </w:r>
      <w:r>
        <w:rPr>
          <w:rFonts w:hint="eastAsia" w:ascii="仿宋_GB2312" w:hAnsi="Calibri" w:eastAsia="仿宋_GB2312"/>
          <w:sz w:val="24"/>
        </w:rPr>
        <w:fldChar w:fldCharType="separate"/>
      </w:r>
      <w:r>
        <w:rPr>
          <w:rFonts w:hint="eastAsia" w:ascii="仿宋_GB2312" w:hAnsi="Calibri" w:eastAsia="仿宋_GB2312"/>
          <w:sz w:val="24"/>
        </w:rPr>
        <w:t>②</w:t>
      </w:r>
      <w:r>
        <w:rPr>
          <w:rFonts w:hint="eastAsia" w:ascii="仿宋_GB2312" w:hAnsi="Calibri" w:eastAsia="仿宋_GB2312"/>
          <w:sz w:val="24"/>
        </w:rPr>
        <w:fldChar w:fldCharType="end"/>
      </w:r>
      <w:r>
        <w:rPr>
          <w:rFonts w:hint="eastAsia" w:ascii="仿宋_GB2312" w:hAnsi="Calibri" w:eastAsia="仿宋_GB2312"/>
          <w:sz w:val="24"/>
        </w:rPr>
        <w:t>对评估程序受限的有关情况披露不够完整、清晰，打4分；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③对评估机构采取的弥补措施情况披露不够清晰，视严重程度打3-4分；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④资产评估专业人员判断的对评估结论影响的情况披露不清晰、明确，打3分；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⑤重大评估程序受限情况应披露而未披露，打0分。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（二十二）资产评估报告使用限制说明</w:t>
      </w:r>
    </w:p>
    <w:p>
      <w:pPr>
        <w:spacing w:line="360" w:lineRule="auto"/>
        <w:ind w:firstLine="566" w:firstLineChars="236"/>
        <w:rPr>
          <w:rFonts w:hint="eastAsia" w:ascii="仿宋_GB2312" w:hAnsi="黑体" w:eastAsia="仿宋_GB2312"/>
          <w:b/>
          <w:sz w:val="24"/>
        </w:rPr>
      </w:pPr>
      <w:r>
        <w:rPr>
          <w:rFonts w:hint="eastAsia" w:ascii="仿宋_GB2312" w:eastAsia="仿宋_GB2312"/>
          <w:sz w:val="24"/>
        </w:rPr>
        <w:t>适用准则：《资产评估执业准则——资产评估报告》第二十六条“资产评估报告的使用限制说明应当载明：（一）使用范围；（二）委托人或者其他资产评估报告使用人未按照法律、行政法规规定和资产评估报告载明的使用范围使用资产评估报告的，资产评估机构及其资产评估专业人员不承担责任；（三）除委托人、资产评估委托合同中约定的其他资产评估报告使用人和法律、行政法规规定的资产评估报告使用人之外，其他任何机构和个人不能成为资产评估报告的使用人；（四）资产评估报告使用人应当正确理解和使用评估结论。评估结论不等同于评估对象可实现价格，评估结论不应当被认为是对评估对象可实现价格的保证。”</w:t>
      </w:r>
    </w:p>
    <w:p>
      <w:pPr>
        <w:spacing w:line="360" w:lineRule="auto"/>
        <w:ind w:firstLine="480" w:firstLineChars="200"/>
        <w:rPr>
          <w:rFonts w:hint="eastAsia" w:ascii="仿宋_GB2312" w:hAnsi="黑体" w:eastAsia="仿宋_GB2312"/>
          <w:b/>
          <w:sz w:val="24"/>
        </w:rPr>
      </w:pPr>
      <w:r>
        <w:rPr>
          <w:rFonts w:hint="eastAsia" w:ascii="仿宋_GB2312" w:eastAsia="仿宋_GB2312"/>
          <w:sz w:val="24"/>
        </w:rPr>
        <w:t>《企业国有资产评估报告指南》第二十四条“资产评估报告使用限制应当载明：（一）使用范围；（二）委托人或者其他资产评估报告使用人未按照法律、行政法规规定和资产评估报告载明的使用范围使用资产评估报告的，资产评估机构及其资产评估师不承担责任；（三）除委托人、资产评估委托合同中约定的其他资产评估报告使用人和法律、行政法规规定的资产评估报告使用人之外，其他任何机构和个人不能成为资产评估报告的使用人；（四）资产评估报告使用人应当正确理解评估结论，评估结论不等同于评估对象可实现价格，评估结论不应当被认为是对评估对象可实现价格的保证。”</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评估报告的使用限制说明应当载明：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（1）使用范围；</w:t>
      </w:r>
    </w:p>
    <w:p>
      <w:pPr>
        <w:spacing w:line="360" w:lineRule="auto"/>
        <w:ind w:firstLine="555"/>
        <w:rPr>
          <w:rFonts w:hint="eastAsia" w:ascii="仿宋_GB2312" w:hAnsi="Calibri" w:eastAsia="仿宋_GB2312"/>
          <w:sz w:val="24"/>
        </w:rPr>
      </w:pPr>
      <w:r>
        <w:rPr>
          <w:rFonts w:hint="eastAsia" w:ascii="仿宋_GB2312" w:hAnsi="Calibri" w:eastAsia="仿宋_GB2312"/>
          <w:sz w:val="24"/>
        </w:rPr>
        <w:t>（2）托人或者其他资产评估报告使用人未按照法律、  行政法规规定和资产评估报告载明的使用范围使用资产评估报告的，资产评估机构及其资产评估专业人员不承担责任；</w:t>
      </w:r>
    </w:p>
    <w:p>
      <w:pPr>
        <w:spacing w:line="360" w:lineRule="auto"/>
        <w:ind w:firstLine="555"/>
        <w:rPr>
          <w:rFonts w:hint="eastAsia" w:ascii="仿宋_GB2312" w:hAnsi="Calibri" w:eastAsia="仿宋_GB2312"/>
          <w:sz w:val="24"/>
        </w:rPr>
      </w:pPr>
      <w:r>
        <w:rPr>
          <w:rFonts w:hint="eastAsia" w:ascii="仿宋_GB2312" w:hAnsi="Calibri" w:eastAsia="仿宋_GB2312"/>
          <w:sz w:val="24"/>
        </w:rPr>
        <w:t>（3）除委托人、资产评估委托合同中约定的其他资产评估报告使用人和法律、行政法规规定的资产评估报告使用人之外，其他任何机构和个人不能成为资产评估报告的使用人；</w:t>
      </w:r>
    </w:p>
    <w:p>
      <w:pPr>
        <w:spacing w:line="360" w:lineRule="auto"/>
        <w:ind w:firstLine="555"/>
        <w:rPr>
          <w:rFonts w:hint="eastAsia" w:ascii="仿宋_GB2312" w:hAnsi="Calibri" w:eastAsia="仿宋_GB2312"/>
          <w:sz w:val="24"/>
        </w:rPr>
      </w:pPr>
      <w:r>
        <w:rPr>
          <w:rFonts w:hint="eastAsia" w:ascii="仿宋_GB2312" w:hAnsi="Calibri" w:eastAsia="仿宋_GB2312"/>
          <w:sz w:val="24"/>
        </w:rPr>
        <w:t>（4）资产评估报告使用人应当正确理解和使用评估结论。  评估结论不等同于评估对象可实现价格，评估结论不应当被认为是对评估对象可实现价格的保证；</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（1）上述4条均披露，且表述准确完整，打5分；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（2）上述4条均披露，但表述不够完整，打4分；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（3）上述4条缺一项扣1分；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（4）无此项内容，打0分。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（二十三）资产评估报告日</w:t>
      </w:r>
    </w:p>
    <w:p>
      <w:pPr>
        <w:spacing w:line="360" w:lineRule="auto"/>
        <w:ind w:firstLine="566" w:firstLineChars="236"/>
        <w:rPr>
          <w:rFonts w:hint="eastAsia" w:ascii="仿宋_GB2312" w:eastAsia="仿宋_GB2312"/>
          <w:b/>
          <w:sz w:val="24"/>
        </w:rPr>
      </w:pPr>
      <w:r>
        <w:rPr>
          <w:rFonts w:hint="eastAsia" w:ascii="仿宋_GB2312" w:eastAsia="仿宋_GB2312"/>
          <w:sz w:val="24"/>
        </w:rPr>
        <w:t>适用准则：《资产评估执业准则——资产评估报告》第二十七条“资产评估报告载明的资产评估报告日通常为评估结论形成的日期，可以不同于资产评估报告的签署日。”</w:t>
      </w:r>
    </w:p>
    <w:p>
      <w:pPr>
        <w:spacing w:line="360" w:lineRule="auto"/>
        <w:ind w:firstLine="480" w:firstLineChars="200"/>
        <w:outlineLvl w:val="0"/>
        <w:rPr>
          <w:rFonts w:hint="eastAsia" w:ascii="仿宋_GB2312" w:hAnsi="黑体" w:eastAsia="仿宋_GB2312"/>
          <w:b/>
          <w:sz w:val="24"/>
        </w:rPr>
      </w:pPr>
      <w:r>
        <w:rPr>
          <w:rFonts w:hint="eastAsia" w:ascii="仿宋_GB2312" w:eastAsia="仿宋_GB2312"/>
          <w:sz w:val="24"/>
        </w:rPr>
        <w:t>《企业国有资产评估报告指南》第二十五条“资产评估报告应当载明资产评估报告日。资产评估报告日通常为评估结论形成的日期，可以不同于资产评估报告的签发日。”</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黑体" w:eastAsia="仿宋_GB2312"/>
          <w:sz w:val="24"/>
        </w:rPr>
        <w:t>根据《资产评估执业准则——资产评估报告》等相关规定，</w:t>
      </w:r>
      <w:r>
        <w:rPr>
          <w:rFonts w:hint="eastAsia" w:ascii="仿宋_GB2312" w:hAnsi="Calibri" w:eastAsia="仿宋_GB2312"/>
          <w:sz w:val="24"/>
        </w:rPr>
        <w:t>资产评估报告载明的资产评估报告日通常为评估结论形成的日期，可以不同于资产评估报告的签署日。</w:t>
      </w:r>
      <w:r>
        <w:rPr>
          <w:rFonts w:hint="eastAsia" w:ascii="仿宋_GB2312" w:hAnsi="黑体" w:eastAsia="仿宋_GB2312"/>
          <w:sz w:val="24"/>
        </w:rPr>
        <w:t>检查中，重点关注是否符合上述要求。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（1）符合上述要求，打5分；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 xml:space="preserve">（2）无此项内容，打0分。 </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（二十四）资产评估专业人员签名和资产评估机构印章</w:t>
      </w:r>
    </w:p>
    <w:p>
      <w:pPr>
        <w:spacing w:line="360" w:lineRule="auto"/>
        <w:ind w:firstLine="566" w:firstLineChars="236"/>
        <w:rPr>
          <w:rFonts w:hint="eastAsia" w:ascii="仿宋_GB2312" w:hAnsi="黑体" w:eastAsia="仿宋_GB2312"/>
          <w:b/>
          <w:color w:val="FF0000"/>
          <w:sz w:val="24"/>
        </w:rPr>
      </w:pPr>
      <w:r>
        <w:rPr>
          <w:rFonts w:hint="eastAsia" w:ascii="仿宋_GB2312" w:eastAsia="仿宋_GB2312"/>
          <w:sz w:val="24"/>
        </w:rPr>
        <w:t>适用准则：《资产评估执业准则——资产评估报告》第八条“资产评估报告应当由至少两名承办该项业务的资产评估专业人员签名并加盖资产评估机构印章。法定资产评估业务的资产评估报告应当由至少两名承办该项业务的资产评估师签名并加盖资产评估机构印章。”</w:t>
      </w:r>
    </w:p>
    <w:p>
      <w:pPr>
        <w:spacing w:line="360" w:lineRule="auto"/>
        <w:ind w:firstLine="566" w:firstLineChars="236"/>
        <w:rPr>
          <w:rFonts w:hint="eastAsia" w:ascii="仿宋_GB2312" w:eastAsia="仿宋_GB2312"/>
          <w:sz w:val="24"/>
        </w:rPr>
      </w:pPr>
      <w:r>
        <w:rPr>
          <w:rFonts w:hint="eastAsia" w:ascii="仿宋_GB2312" w:eastAsia="仿宋_GB2312"/>
          <w:sz w:val="24"/>
        </w:rPr>
        <w:t>《企业国有资产评估报告指南》第二十六条“资产评估报告正文应当由至少两名承办该评估业务的资产评估师签名，并加盖资产评估机构印章。”</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480" w:firstLineChars="200"/>
        <w:rPr>
          <w:rFonts w:hint="eastAsia" w:ascii="仿宋_GB2312" w:eastAsia="仿宋_GB2312"/>
          <w:sz w:val="24"/>
        </w:rPr>
      </w:pPr>
      <w:r>
        <w:rPr>
          <w:rFonts w:hint="eastAsia" w:ascii="仿宋_GB2312" w:hAnsi="黑体" w:eastAsia="仿宋_GB2312"/>
          <w:sz w:val="24"/>
        </w:rPr>
        <w:t>根据《资产评估执业准则——资产评估报告》、等相关规定，</w:t>
      </w:r>
      <w:r>
        <w:rPr>
          <w:rFonts w:hint="eastAsia" w:ascii="仿宋_GB2312" w:eastAsia="仿宋_GB2312"/>
          <w:sz w:val="24"/>
        </w:rPr>
        <w:t>资产评估报告应当由至少两名承办该项业务的资产评估专业人员签名并加盖资产评估机构印章。</w:t>
      </w:r>
    </w:p>
    <w:p>
      <w:pPr>
        <w:spacing w:line="360" w:lineRule="auto"/>
        <w:ind w:firstLine="555"/>
        <w:rPr>
          <w:rFonts w:hint="eastAsia" w:ascii="仿宋_GB2312" w:hAnsi="Calibri" w:eastAsia="仿宋_GB2312"/>
          <w:sz w:val="24"/>
        </w:rPr>
      </w:pPr>
      <w:r>
        <w:rPr>
          <w:rFonts w:hint="eastAsia" w:ascii="仿宋_GB2312" w:eastAsia="仿宋_GB2312"/>
          <w:sz w:val="24"/>
        </w:rPr>
        <w:t>法定资产评估业务的资产评估报告应当由至少两名承办该项业务的资产评估师签名并加盖资产评估机构印章。检</w:t>
      </w:r>
      <w:r>
        <w:rPr>
          <w:rFonts w:hint="eastAsia" w:ascii="仿宋_GB2312" w:hAnsi="黑体" w:eastAsia="仿宋_GB2312"/>
          <w:sz w:val="24"/>
        </w:rPr>
        <w:t>查中，重点关注是否符合上述要求。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（1）符合上述要求，打5分；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（2）法定资产评估业务的资产评估报告无两名承办该业务的资产评估师签名或资产评估报告无两名资产评估专业人员签名或资产评估报告未加盖资产评估机构印章的，打0分。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（二十五）资产评估报告附件</w:t>
      </w:r>
    </w:p>
    <w:p>
      <w:pPr>
        <w:spacing w:line="360" w:lineRule="auto"/>
        <w:ind w:firstLine="566" w:firstLineChars="236"/>
        <w:rPr>
          <w:rFonts w:hint="eastAsia" w:ascii="仿宋_GB2312" w:eastAsia="仿宋_GB2312"/>
          <w:sz w:val="24"/>
        </w:rPr>
      </w:pPr>
      <w:r>
        <w:rPr>
          <w:rFonts w:hint="eastAsia" w:ascii="仿宋_GB2312" w:eastAsia="仿宋_GB2312"/>
          <w:sz w:val="24"/>
        </w:rPr>
        <w:t>适用准则：《资产评估执业准则——资产评估报告》第二十八条“资产评估报告附件通常包括: （一）评估对象所涉及的主要权属证明资料；（二）委托人和其他相关当事人的承诺函；（三）资产评估机构及签名资产评估专业人员的备案文件或者资格证明文件；（四）资产评估汇总表或者明细表；（五）资产账面价值与评估结论存在较大差异的说明。”</w:t>
      </w:r>
    </w:p>
    <w:p>
      <w:pPr>
        <w:spacing w:line="360" w:lineRule="auto"/>
        <w:ind w:firstLine="566" w:firstLineChars="236"/>
        <w:rPr>
          <w:rFonts w:hint="eastAsia" w:ascii="仿宋_GB2312" w:hAnsi="黑体" w:eastAsia="仿宋_GB2312"/>
          <w:b/>
          <w:sz w:val="24"/>
        </w:rPr>
      </w:pPr>
      <w:r>
        <w:rPr>
          <w:rFonts w:hint="eastAsia" w:ascii="仿宋_GB2312" w:eastAsia="仿宋_GB2312"/>
          <w:sz w:val="24"/>
        </w:rPr>
        <w:t>《资产评估执业准则——利用专家工作及相关报告》第三十条“引用单项资产评估报告作为资产评估报告的组成部分……”</w:t>
      </w:r>
    </w:p>
    <w:p>
      <w:pPr>
        <w:spacing w:line="360" w:lineRule="auto"/>
        <w:ind w:firstLine="480" w:firstLineChars="200"/>
        <w:rPr>
          <w:rFonts w:hint="eastAsia" w:ascii="仿宋_GB2312" w:eastAsia="仿宋_GB2312"/>
          <w:sz w:val="24"/>
        </w:rPr>
      </w:pPr>
      <w:r>
        <w:rPr>
          <w:rFonts w:hint="eastAsia" w:ascii="仿宋_GB2312" w:eastAsia="仿宋_GB2312"/>
          <w:sz w:val="24"/>
        </w:rPr>
        <w:t>《企业国有资产评估报告指南》第二十七条“资产评估报告附件内容应当与评估目的、评估方法、评估结论相关联，通常包括下列内容：（一）与评估目的相对应的经济行为文件；（二）被评估单位专项审计报告；（三）委托人和被评估单位法人营业执照；（四）委托人和被评估单位产权登记证；（五）评估对象涉及的主要权属证明资料；（六）委托人和其他相关当事人的承诺函；（七）签名资产评估师的承诺函；（八）资产评估机构备案文件或者资格证明文件；（九）资产评估机构法人营业执照副本；（十）负责该评估业务的资产评估师资格证明文件；（十一）资产评估委托合同；（十二）其他重要文件。”</w:t>
      </w:r>
    </w:p>
    <w:p>
      <w:pPr>
        <w:spacing w:line="360" w:lineRule="auto"/>
        <w:ind w:firstLine="480" w:firstLineChars="200"/>
        <w:jc w:val="left"/>
        <w:rPr>
          <w:rFonts w:hint="eastAsia" w:ascii="仿宋_GB2312" w:eastAsia="仿宋_GB2312"/>
          <w:sz w:val="24"/>
        </w:rPr>
      </w:pPr>
      <w:r>
        <w:rPr>
          <w:rFonts w:hint="eastAsia" w:ascii="仿宋_GB2312" w:eastAsia="仿宋_GB2312"/>
          <w:sz w:val="24"/>
        </w:rPr>
        <w:t>《企业国有资产评估报告指南》第二十八条  资产评估报告附件内容及其所涉及的签章应当清晰、完整，相关内容应当与资产评估报告摘要、正文一致。资产评估报告附件为复印件的，应当与原件一致。</w:t>
      </w:r>
    </w:p>
    <w:p>
      <w:pPr>
        <w:spacing w:line="360" w:lineRule="auto"/>
        <w:ind w:firstLine="480" w:firstLineChars="200"/>
        <w:rPr>
          <w:rFonts w:hint="eastAsia" w:ascii="仿宋_GB2312" w:hAnsi="黑体" w:eastAsia="仿宋_GB2312"/>
          <w:b/>
          <w:sz w:val="24"/>
        </w:rPr>
      </w:pPr>
      <w:r>
        <w:rPr>
          <w:rFonts w:hint="eastAsia" w:ascii="仿宋_GB2312" w:eastAsia="仿宋_GB2312"/>
          <w:sz w:val="24"/>
        </w:rPr>
        <w:t>《企业国有资产评估报告指南》第二十九条“按照法律、行政法规规定需要进行专项审计的，应当将企业提供的与经济行为相对应的评估基准日专项审计报告（含会计报表和附注）作为资产评估报告附件。按有关规定无需进行专项审计的，应当将企业确认的与经济行为相对应的评估基准日企业财务报表作为资产评估报告附件。如果引用其他机构出具的报告结论，根据现行有关规定，所引用的报告应当经相应主管部门批准（备案）的，应当将相应主管部门的相关批准（备案）文件作为资产评估报告的附件。”</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（1）评估报告附件通常包括：</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①评估对象所涉及的主要权属证明资料；</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②委托人和相关当事人的承诺函；</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③资产评估机构及签名资产评估专业人员的备案文件或者资格证明文件；</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④资产评估汇总表或者明细表；</w:t>
      </w:r>
    </w:p>
    <w:p>
      <w:pPr>
        <w:spacing w:line="360" w:lineRule="auto"/>
        <w:ind w:firstLine="555"/>
        <w:rPr>
          <w:rFonts w:hint="eastAsia" w:ascii="仿宋_GB2312" w:hAnsi="Calibri" w:eastAsia="仿宋_GB2312"/>
          <w:sz w:val="24"/>
        </w:rPr>
      </w:pPr>
      <w:r>
        <w:rPr>
          <w:rFonts w:hint="eastAsia" w:ascii="仿宋_GB2312" w:hAnsi="Calibri" w:eastAsia="仿宋_GB2312"/>
          <w:sz w:val="24"/>
        </w:rPr>
        <w:t>⑤资产账面价值与评估结论存在较大差异的说明。</w:t>
      </w:r>
    </w:p>
    <w:p>
      <w:pPr>
        <w:spacing w:line="360" w:lineRule="auto"/>
        <w:ind w:firstLine="555"/>
        <w:rPr>
          <w:rFonts w:hint="eastAsia" w:ascii="仿宋_GB2312" w:hAnsi="Calibri" w:eastAsia="仿宋_GB2312"/>
          <w:sz w:val="24"/>
        </w:rPr>
      </w:pPr>
      <w:r>
        <w:rPr>
          <w:rFonts w:hint="eastAsia" w:ascii="仿宋_GB2312" w:hAnsi="Calibri" w:eastAsia="仿宋_GB2312"/>
          <w:sz w:val="24"/>
        </w:rPr>
        <w:t>（2）涉及国资项目，见《企业国有资产评估报告指南》相关要求。</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（1）上述必要附件均完备，打5分；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（2）上述必要附件有一项不完备，扣1分，直至为0分。</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（二十六）评估明细表</w:t>
      </w:r>
    </w:p>
    <w:p>
      <w:pPr>
        <w:spacing w:line="360" w:lineRule="auto"/>
        <w:ind w:firstLine="566" w:firstLineChars="236"/>
        <w:rPr>
          <w:rFonts w:hint="eastAsia" w:ascii="仿宋_GB2312" w:eastAsia="仿宋_GB2312"/>
          <w:sz w:val="24"/>
        </w:rPr>
      </w:pPr>
      <w:r>
        <w:rPr>
          <w:rFonts w:hint="eastAsia" w:ascii="仿宋_GB2312" w:eastAsia="仿宋_GB2312"/>
          <w:sz w:val="24"/>
        </w:rPr>
        <w:t>适用准则：《资产评估执业准则——资产评估报告》第二十八条“资产评估报告附件通常包括: ……（四）资产评估汇总表或者明细表；”</w:t>
      </w:r>
    </w:p>
    <w:p>
      <w:pPr>
        <w:spacing w:line="360" w:lineRule="auto"/>
        <w:ind w:firstLine="480" w:firstLineChars="200"/>
        <w:jc w:val="left"/>
        <w:rPr>
          <w:rFonts w:hint="eastAsia" w:ascii="仿宋_GB2312" w:eastAsia="仿宋_GB2312"/>
          <w:sz w:val="24"/>
        </w:rPr>
      </w:pPr>
      <w:r>
        <w:rPr>
          <w:rFonts w:hint="eastAsia" w:ascii="仿宋_GB2312" w:eastAsia="仿宋_GB2312"/>
          <w:sz w:val="24"/>
        </w:rPr>
        <w:t>《企业国有资产评估报告指南》第三十条“评估明细表可以根据本指南的基本要求和企业会计核算所设置的会计科目，结合评估方法特点进行编制。（一）单项资产或者资产组合评估……，评估明细表包括按会计科目设置的资产、负债评估明细表和各级汇总表；”</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1.检查要点：</w:t>
      </w:r>
    </w:p>
    <w:p>
      <w:pPr>
        <w:spacing w:line="360" w:lineRule="auto"/>
        <w:ind w:firstLine="555"/>
        <w:rPr>
          <w:rFonts w:hint="eastAsia" w:ascii="仿宋_GB2312" w:hAnsi="Calibri" w:eastAsia="仿宋_GB2312"/>
          <w:sz w:val="24"/>
        </w:rPr>
      </w:pPr>
      <w:r>
        <w:rPr>
          <w:rFonts w:hint="eastAsia" w:ascii="仿宋_GB2312" w:hAnsi="Calibri" w:eastAsia="仿宋_GB2312"/>
          <w:sz w:val="24"/>
        </w:rPr>
        <w:t>（1）单项资产或者资产组合评估，应当编制评估明细表；</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（2）评估明细表应当包括各被评估资产科目的评估明细表和各级汇总表；</w:t>
      </w:r>
    </w:p>
    <w:p>
      <w:pPr>
        <w:spacing w:line="360" w:lineRule="auto"/>
        <w:ind w:firstLine="555"/>
        <w:rPr>
          <w:rFonts w:hint="eastAsia" w:ascii="仿宋_GB2312" w:hAnsi="Calibri" w:eastAsia="仿宋_GB2312"/>
          <w:sz w:val="24"/>
        </w:rPr>
      </w:pPr>
      <w:r>
        <w:rPr>
          <w:rFonts w:hint="eastAsia" w:ascii="仿宋_GB2312" w:hAnsi="Calibri" w:eastAsia="仿宋_GB2312"/>
          <w:sz w:val="24"/>
        </w:rPr>
        <w:t>（3）各科目评估明细表的格式和内容应当符合基本要求（非国资项目可参考企业国有资产评估报告指南》中对评估明细表格式和内容的要求）；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（4）各科目评估明细表反映的信息应该完整、数据准确；</w:t>
      </w:r>
    </w:p>
    <w:p>
      <w:pPr>
        <w:spacing w:line="360" w:lineRule="auto"/>
        <w:ind w:firstLine="555"/>
        <w:rPr>
          <w:rFonts w:hint="eastAsia" w:ascii="仿宋_GB2312" w:hAnsi="Calibri" w:eastAsia="仿宋_GB2312"/>
          <w:sz w:val="24"/>
        </w:rPr>
      </w:pPr>
      <w:r>
        <w:rPr>
          <w:rFonts w:hint="eastAsia" w:ascii="仿宋_GB2312" w:hAnsi="Calibri" w:eastAsia="仿宋_GB2312"/>
          <w:sz w:val="24"/>
        </w:rPr>
        <w:t>（5）各科目评估明细表和各级汇总表的钩稽关系正确。</w:t>
      </w:r>
    </w:p>
    <w:p>
      <w:pPr>
        <w:spacing w:line="360" w:lineRule="auto"/>
        <w:ind w:firstLine="555"/>
        <w:rPr>
          <w:rFonts w:hint="eastAsia" w:ascii="仿宋_GB2312" w:hAnsi="Calibri" w:eastAsia="仿宋_GB2312"/>
          <w:b/>
          <w:sz w:val="24"/>
        </w:rPr>
      </w:pPr>
      <w:r>
        <w:rPr>
          <w:rFonts w:hint="eastAsia" w:ascii="仿宋_GB2312" w:hAnsi="Calibri" w:eastAsia="仿宋_GB2312"/>
          <w:b/>
          <w:sz w:val="24"/>
        </w:rPr>
        <w:t>2.打分要求：</w:t>
      </w:r>
    </w:p>
    <w:p>
      <w:pPr>
        <w:spacing w:line="360" w:lineRule="auto"/>
        <w:ind w:firstLine="555"/>
        <w:rPr>
          <w:rFonts w:hint="eastAsia" w:ascii="仿宋_GB2312" w:hAnsi="Calibri" w:eastAsia="仿宋_GB2312"/>
          <w:sz w:val="24"/>
        </w:rPr>
      </w:pPr>
      <w:r>
        <w:rPr>
          <w:rFonts w:hint="eastAsia" w:ascii="仿宋_GB2312" w:hAnsi="Calibri" w:eastAsia="仿宋_GB2312"/>
          <w:sz w:val="24"/>
        </w:rPr>
        <w:t>（1）完全做到上述五点，打5分；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（2）评估明细表科目完整，但填列内容不够准确、完整，判断为未对分析判断资产状况产生重大影响的，打4分；判断为很可能对分析判断资产状况产生重大影响的，打3分；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（3）评估明细表的科目完整，但申报明细表填列内容欠缺较多，判断为未对分析判断资产状况产生重大影响的，打3分；判断为很可能对分析判断资产状况产生重大影响的，打2分；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（4）评估明细表的科目不完整，缺少非重要科目的，扣2分；评估明细表的科目不完整，缺少重要科目的，打2分；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（5）各科目评估明细表和各级汇总表的钩稽关系存在错误的，打2分；</w:t>
      </w:r>
    </w:p>
    <w:p>
      <w:pPr>
        <w:spacing w:line="360" w:lineRule="auto"/>
        <w:ind w:firstLine="555"/>
        <w:rPr>
          <w:rFonts w:hint="eastAsia" w:ascii="仿宋_GB2312" w:hAnsi="Calibri" w:eastAsia="仿宋_GB2312"/>
          <w:sz w:val="24"/>
        </w:rPr>
      </w:pPr>
      <w:r>
        <w:rPr>
          <w:rFonts w:hint="eastAsia" w:ascii="仿宋_GB2312" w:hAnsi="Calibri" w:eastAsia="仿宋_GB2312"/>
          <w:sz w:val="24"/>
        </w:rPr>
        <w:t>（6）应有而未有资产评估明细表的，打0分。</w:t>
      </w:r>
    </w:p>
    <w:p>
      <w:pPr>
        <w:rPr>
          <w:rFonts w:hint="eastAsia" w:ascii="仿宋_GB2312" w:eastAsia="仿宋_GB2312"/>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Style w:val="10"/>
      </w:rPr>
      <w:fldChar w:fldCharType="begin"/>
    </w:r>
    <w:r>
      <w:rPr>
        <w:rStyle w:val="10"/>
      </w:rPr>
      <w:instrText xml:space="preserve"> PAGE </w:instrText>
    </w:r>
    <w:r>
      <w:rPr>
        <w:rStyle w:val="10"/>
      </w:rPr>
      <w:fldChar w:fldCharType="separate"/>
    </w:r>
    <w:r>
      <w:rPr>
        <w:rStyle w:val="10"/>
      </w:rPr>
      <w:t>53</w:t>
    </w:r>
    <w:r>
      <w:rPr>
        <w:rStyle w:val="10"/>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450D7"/>
    <w:rsid w:val="000A52C3"/>
    <w:rsid w:val="001450D7"/>
    <w:rsid w:val="00175AE0"/>
    <w:rsid w:val="00251455"/>
    <w:rsid w:val="0034284D"/>
    <w:rsid w:val="003861EE"/>
    <w:rsid w:val="004F1C16"/>
    <w:rsid w:val="006420D4"/>
    <w:rsid w:val="00792F4F"/>
    <w:rsid w:val="00801BE4"/>
    <w:rsid w:val="008C2A60"/>
    <w:rsid w:val="008F2878"/>
    <w:rsid w:val="00B260A9"/>
    <w:rsid w:val="00CB23DC"/>
    <w:rsid w:val="00DC1343"/>
    <w:rsid w:val="00F402D8"/>
    <w:rsid w:val="00F902FB"/>
    <w:rsid w:val="1A0A350A"/>
    <w:rsid w:val="3F9F2C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link w:val="14"/>
    <w:semiHidden/>
    <w:qFormat/>
    <w:uiPriority w:val="0"/>
    <w:pPr>
      <w:jc w:val="left"/>
    </w:pPr>
  </w:style>
  <w:style w:type="paragraph" w:styleId="3">
    <w:name w:val="Body Text"/>
    <w:basedOn w:val="1"/>
    <w:link w:val="18"/>
    <w:qFormat/>
    <w:uiPriority w:val="1"/>
    <w:pPr>
      <w:autoSpaceDE w:val="0"/>
      <w:autoSpaceDN w:val="0"/>
      <w:ind w:left="118"/>
      <w:jc w:val="left"/>
    </w:pPr>
    <w:rPr>
      <w:rFonts w:ascii="宋体" w:hAnsi="宋体" w:cs="宋体"/>
      <w:kern w:val="0"/>
      <w:sz w:val="32"/>
      <w:szCs w:val="32"/>
      <w:lang w:val="zh-CN" w:bidi="zh-CN"/>
    </w:rPr>
  </w:style>
  <w:style w:type="paragraph" w:styleId="4">
    <w:name w:val="Balloon Text"/>
    <w:basedOn w:val="1"/>
    <w:link w:val="16"/>
    <w:semiHidden/>
    <w:qFormat/>
    <w:uiPriority w:val="0"/>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5"/>
    <w:semiHidden/>
    <w:qFormat/>
    <w:uiPriority w:val="0"/>
    <w:rPr>
      <w:b/>
      <w:bCs/>
    </w:rPr>
  </w:style>
  <w:style w:type="character" w:styleId="10">
    <w:name w:val="page number"/>
    <w:basedOn w:val="9"/>
    <w:qFormat/>
    <w:uiPriority w:val="0"/>
  </w:style>
  <w:style w:type="character" w:styleId="11">
    <w:name w:val="annotation reference"/>
    <w:semiHidden/>
    <w:qFormat/>
    <w:uiPriority w:val="0"/>
    <w:rPr>
      <w:sz w:val="21"/>
      <w:szCs w:val="21"/>
    </w:rPr>
  </w:style>
  <w:style w:type="character" w:customStyle="1" w:styleId="12">
    <w:name w:val="页眉 Char"/>
    <w:basedOn w:val="9"/>
    <w:link w:val="6"/>
    <w:semiHidden/>
    <w:qFormat/>
    <w:uiPriority w:val="99"/>
    <w:rPr>
      <w:sz w:val="18"/>
      <w:szCs w:val="18"/>
    </w:rPr>
  </w:style>
  <w:style w:type="character" w:customStyle="1" w:styleId="13">
    <w:name w:val="页脚 Char"/>
    <w:basedOn w:val="9"/>
    <w:link w:val="5"/>
    <w:qFormat/>
    <w:uiPriority w:val="99"/>
    <w:rPr>
      <w:sz w:val="18"/>
      <w:szCs w:val="18"/>
    </w:rPr>
  </w:style>
  <w:style w:type="character" w:customStyle="1" w:styleId="14">
    <w:name w:val="批注文字 Char"/>
    <w:basedOn w:val="9"/>
    <w:link w:val="2"/>
    <w:semiHidden/>
    <w:qFormat/>
    <w:uiPriority w:val="0"/>
    <w:rPr>
      <w:rFonts w:ascii="Times New Roman" w:hAnsi="Times New Roman" w:eastAsia="宋体" w:cs="Times New Roman"/>
      <w:szCs w:val="24"/>
    </w:rPr>
  </w:style>
  <w:style w:type="character" w:customStyle="1" w:styleId="15">
    <w:name w:val="批注主题 Char"/>
    <w:basedOn w:val="14"/>
    <w:link w:val="7"/>
    <w:semiHidden/>
    <w:qFormat/>
    <w:uiPriority w:val="0"/>
    <w:rPr>
      <w:b/>
      <w:bCs/>
    </w:rPr>
  </w:style>
  <w:style w:type="character" w:customStyle="1" w:styleId="16">
    <w:name w:val="批注框文本 Char"/>
    <w:basedOn w:val="9"/>
    <w:link w:val="4"/>
    <w:semiHidden/>
    <w:qFormat/>
    <w:uiPriority w:val="0"/>
    <w:rPr>
      <w:rFonts w:ascii="Times New Roman" w:hAnsi="Times New Roman" w:eastAsia="宋体" w:cs="Times New Roman"/>
      <w:sz w:val="18"/>
      <w:szCs w:val="18"/>
    </w:rPr>
  </w:style>
  <w:style w:type="paragraph" w:customStyle="1" w:styleId="17">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18">
    <w:name w:val="正文文本 Char"/>
    <w:basedOn w:val="9"/>
    <w:link w:val="3"/>
    <w:qFormat/>
    <w:uiPriority w:val="1"/>
    <w:rPr>
      <w:rFonts w:ascii="宋体" w:hAnsi="宋体" w:eastAsia="宋体" w:cs="宋体"/>
      <w:kern w:val="0"/>
      <w:sz w:val="32"/>
      <w:szCs w:val="32"/>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55</Pages>
  <Words>6074</Words>
  <Characters>34624</Characters>
  <Lines>288</Lines>
  <Paragraphs>81</Paragraphs>
  <TotalTime>0</TotalTime>
  <ScaleCrop>false</ScaleCrop>
  <LinksUpToDate>false</LinksUpToDate>
  <CharactersWithSpaces>40617</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2019-04-02T16:25:00Z</dcterms:created>
  <dc:creator>admin</dc:creator>
  <cp:lastModifiedBy>kitty</cp:lastModifiedBy>
  <dcterms:modified xsi:type="dcterms:W3CDTF">2019-04-03T10:03:31Z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